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9D33C" w14:textId="25F4C604" w:rsidR="002E77A2" w:rsidRPr="00A3573B" w:rsidRDefault="004966D1" w:rsidP="003A3EEA">
      <w:pPr>
        <w:ind w:left="540"/>
        <w:rPr>
          <w:rFonts w:ascii="Kohinoor Devanagari" w:hAnsi="Kohinoor Devanagari" w:cs="Kohinoor Devanagari"/>
        </w:rPr>
      </w:pPr>
      <w:r>
        <w:rPr>
          <w:rFonts w:ascii="Kohinoor Devanagari" w:hAnsi="Kohinoor Devanagari" w:cs="Kohinoor Devanagari"/>
          <w:noProof/>
        </w:rPr>
        <w:drawing>
          <wp:anchor distT="0" distB="0" distL="114300" distR="114300" simplePos="0" relativeHeight="251659269" behindDoc="1" locked="0" layoutInCell="1" allowOverlap="1" wp14:anchorId="3A5D40A0" wp14:editId="50C3E3CE">
            <wp:simplePos x="0" y="0"/>
            <wp:positionH relativeFrom="page">
              <wp:align>center</wp:align>
            </wp:positionH>
            <wp:positionV relativeFrom="margin">
              <wp:posOffset>-593768</wp:posOffset>
            </wp:positionV>
            <wp:extent cx="7086600" cy="10023475"/>
            <wp:effectExtent l="0" t="0" r="0" b="0"/>
            <wp:wrapNone/>
            <wp:docPr id="1311011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011902" name="Picture 1311011902"/>
                    <pic:cNvPicPr/>
                  </pic:nvPicPr>
                  <pic:blipFill>
                    <a:blip r:embed="rId11">
                      <a:extLst>
                        <a:ext uri="{28A0092B-C50C-407E-A947-70E740481C1C}">
                          <a14:useLocalDpi xmlns:a14="http://schemas.microsoft.com/office/drawing/2010/main" val="0"/>
                        </a:ext>
                      </a:extLst>
                    </a:blip>
                    <a:stretch>
                      <a:fillRect/>
                    </a:stretch>
                  </pic:blipFill>
                  <pic:spPr>
                    <a:xfrm>
                      <a:off x="0" y="0"/>
                      <a:ext cx="7086600" cy="10023475"/>
                    </a:xfrm>
                    <a:prstGeom prst="rect">
                      <a:avLst/>
                    </a:prstGeom>
                  </pic:spPr>
                </pic:pic>
              </a:graphicData>
            </a:graphic>
            <wp14:sizeRelH relativeFrom="page">
              <wp14:pctWidth>0</wp14:pctWidth>
            </wp14:sizeRelH>
            <wp14:sizeRelV relativeFrom="page">
              <wp14:pctHeight>0</wp14:pctHeight>
            </wp14:sizeRelV>
          </wp:anchor>
        </w:drawing>
      </w:r>
    </w:p>
    <w:p w14:paraId="78D9A273" w14:textId="4568495F" w:rsidR="002E77A2" w:rsidRPr="00A3573B" w:rsidRDefault="002E77A2" w:rsidP="001E1A8C">
      <w:pPr>
        <w:ind w:left="450"/>
        <w:rPr>
          <w:rFonts w:ascii="Kohinoor Devanagari" w:hAnsi="Kohinoor Devanagari" w:cs="Kohinoor Devanagari"/>
        </w:rPr>
      </w:pPr>
      <w:bookmarkStart w:id="0" w:name="_Hlk214797949"/>
      <w:bookmarkEnd w:id="0"/>
    </w:p>
    <w:p w14:paraId="503A0711" w14:textId="1317D09B" w:rsidR="002E77A2" w:rsidRPr="00A3573B" w:rsidRDefault="002E77A2" w:rsidP="002E77A2">
      <w:pPr>
        <w:rPr>
          <w:rFonts w:ascii="Kohinoor Devanagari" w:hAnsi="Kohinoor Devanagari" w:cs="Kohinoor Devanagari"/>
        </w:rPr>
      </w:pPr>
      <w:r w:rsidRPr="00A3573B">
        <w:rPr>
          <w:rFonts w:ascii="Kohinoor Devanagari" w:hAnsi="Kohinoor Devanagari" w:cs="Kohinoor Devanagari"/>
        </w:rPr>
        <w:tab/>
      </w:r>
    </w:p>
    <w:p w14:paraId="48B80580" w14:textId="3D03960F" w:rsidR="004567AD" w:rsidRPr="004567AD" w:rsidRDefault="004567AD" w:rsidP="004567AD">
      <w:pPr>
        <w:rPr>
          <w:rFonts w:ascii="Kohinoor Devanagari" w:hAnsi="Kohinoor Devanagari" w:cs="Kohinoor Devanagari"/>
        </w:rPr>
        <w:sectPr w:rsidR="004567AD" w:rsidRPr="004567AD" w:rsidSect="009056C4">
          <w:headerReference w:type="default" r:id="rId12"/>
          <w:footerReference w:type="even" r:id="rId13"/>
          <w:footerReference w:type="default" r:id="rId14"/>
          <w:footerReference w:type="first" r:id="rId15"/>
          <w:pgSz w:w="11900" w:h="16840"/>
          <w:pgMar w:top="450" w:right="560" w:bottom="238" w:left="180" w:header="238" w:footer="1134" w:gutter="0"/>
          <w:cols w:space="708"/>
          <w:docGrid w:linePitch="360"/>
        </w:sectPr>
      </w:pPr>
    </w:p>
    <w:p w14:paraId="63B84BB1" w14:textId="750EAC07" w:rsidR="002E77A2" w:rsidRPr="00442C82" w:rsidRDefault="002E77A2" w:rsidP="002F3B15">
      <w:pPr>
        <w:rPr>
          <w:rFonts w:ascii="Kohinoor Devanagari" w:eastAsia="Trebuchet MS" w:hAnsi="Kohinoor Devanagari" w:cs="Kohinoor Devanagari"/>
          <w:b/>
          <w:color w:val="61BC4D"/>
          <w:kern w:val="0"/>
          <w:sz w:val="26"/>
          <w:szCs w:val="26"/>
          <w:lang w:eastAsia="en-GB"/>
          <w14:ligatures w14:val="none"/>
        </w:rPr>
      </w:pPr>
      <w:r w:rsidRPr="00A3573B">
        <w:rPr>
          <w:rFonts w:ascii="Kohinoor Devanagari" w:hAnsi="Kohinoor Devanagari" w:cs="Kohinoor Devanagari"/>
          <w:noProof/>
        </w:rPr>
        <w:lastRenderedPageBreak/>
        <mc:AlternateContent>
          <mc:Choice Requires="wps">
            <w:drawing>
              <wp:anchor distT="0" distB="0" distL="114300" distR="114300" simplePos="0" relativeHeight="251658241" behindDoc="0" locked="0" layoutInCell="1" allowOverlap="1" wp14:anchorId="1FB4539D" wp14:editId="5F3712D4">
                <wp:simplePos x="0" y="0"/>
                <wp:positionH relativeFrom="page">
                  <wp:align>right</wp:align>
                </wp:positionH>
                <wp:positionV relativeFrom="paragraph">
                  <wp:posOffset>-956491</wp:posOffset>
                </wp:positionV>
                <wp:extent cx="7549333" cy="10753090"/>
                <wp:effectExtent l="0" t="0" r="0" b="0"/>
                <wp:wrapNone/>
                <wp:docPr id="174339596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9333" cy="10753090"/>
                        </a:xfrm>
                        <a:prstGeom prst="rect">
                          <a:avLst/>
                        </a:prstGeom>
                        <a:solidFill>
                          <a:srgbClr val="47626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7626F"/>
                              <w:tblCellMar>
                                <w:left w:w="0" w:type="dxa"/>
                                <w:right w:w="0" w:type="dxa"/>
                              </w:tblCellMar>
                              <w:tblLook w:val="0000" w:firstRow="0" w:lastRow="0" w:firstColumn="0" w:lastColumn="0" w:noHBand="0" w:noVBand="0"/>
                            </w:tblPr>
                            <w:tblGrid>
                              <w:gridCol w:w="11649"/>
                            </w:tblGrid>
                            <w:tr w:rsidR="007B605F" w:rsidRPr="007B605F" w14:paraId="76B118F5" w14:textId="77777777" w:rsidTr="007B605F">
                              <w:trPr>
                                <w:trHeight w:val="1432"/>
                                <w:jc w:val="center"/>
                              </w:trPr>
                              <w:tc>
                                <w:tcPr>
                                  <w:tcW w:w="5000" w:type="pct"/>
                                  <w:tcBorders>
                                    <w:top w:val="nil"/>
                                    <w:left w:val="nil"/>
                                    <w:bottom w:val="nil"/>
                                    <w:right w:val="nil"/>
                                  </w:tcBorders>
                                  <w:shd w:val="clear" w:color="auto" w:fill="47626F"/>
                                </w:tcPr>
                                <w:p w14:paraId="3C0D44C9" w14:textId="77777777" w:rsidR="00C57147" w:rsidRPr="007B605F" w:rsidRDefault="00C57147" w:rsidP="00C57147">
                                  <w:pPr>
                                    <w:spacing w:before="120" w:after="120"/>
                                    <w:rPr>
                                      <w:rFonts w:ascii="Kohinoor Devanagari" w:eastAsiaTheme="majorEastAsia" w:hAnsi="Kohinoor Devanagari" w:cs="Kohinoor Devanagari"/>
                                      <w:b/>
                                      <w:bCs/>
                                      <w:color w:val="FFFFFF" w:themeColor="background1"/>
                                      <w:spacing w:val="-10"/>
                                      <w:kern w:val="28"/>
                                      <w:sz w:val="28"/>
                                      <w:szCs w:val="28"/>
                                    </w:rPr>
                                  </w:pPr>
                                  <w:r w:rsidRPr="007B605F">
                                    <w:rPr>
                                      <w:rFonts w:ascii="Kohinoor Devanagari" w:eastAsiaTheme="majorEastAsia" w:hAnsi="Kohinoor Devanagari" w:cs="Kohinoor Devanagari"/>
                                      <w:b/>
                                      <w:bCs/>
                                      <w:color w:val="FFFFFF" w:themeColor="background1"/>
                                      <w:spacing w:val="-10"/>
                                      <w:kern w:val="28"/>
                                      <w:sz w:val="28"/>
                                      <w:szCs w:val="28"/>
                                    </w:rPr>
                                    <w:t xml:space="preserve">Extractives Global Programmatic Support - EGPS </w:t>
                                  </w:r>
                                </w:p>
                                <w:p w14:paraId="05CB6188" w14:textId="01A7B302" w:rsidR="00C57147" w:rsidRDefault="00C57147" w:rsidP="007B605F">
                                  <w:pPr>
                                    <w:spacing w:before="120" w:after="120" w:line="240" w:lineRule="auto"/>
                                    <w:jc w:val="both"/>
                                    <w:rPr>
                                      <w:rFonts w:ascii="Kohinoor Devanagari" w:eastAsiaTheme="majorEastAsia" w:hAnsi="Kohinoor Devanagari" w:cs="Kohinoor Devanagari"/>
                                      <w:b/>
                                      <w:bCs/>
                                      <w:color w:val="FFFFFF" w:themeColor="background1"/>
                                      <w:spacing w:val="-10"/>
                                      <w:kern w:val="28"/>
                                      <w:sz w:val="28"/>
                                      <w:szCs w:val="28"/>
                                    </w:rPr>
                                  </w:pPr>
                                  <w:r w:rsidRPr="007B605F">
                                    <w:rPr>
                                      <w:rFonts w:ascii="Kohinoor Devanagari" w:eastAsiaTheme="majorEastAsia" w:hAnsi="Kohinoor Devanagari" w:cs="Kohinoor Devanagari"/>
                                      <w:b/>
                                      <w:bCs/>
                                      <w:color w:val="FFFFFF" w:themeColor="background1"/>
                                      <w:spacing w:val="-10"/>
                                      <w:kern w:val="28"/>
                                      <w:sz w:val="28"/>
                                      <w:szCs w:val="28"/>
                                    </w:rPr>
                                    <w:t>Iraq Extractive Industries Transparency Initiative (EITI) (P505507)</w:t>
                                  </w:r>
                                </w:p>
                                <w:p w14:paraId="05A5E74F" w14:textId="77777777" w:rsidR="007B605F" w:rsidRPr="007B605F" w:rsidRDefault="007B605F" w:rsidP="007B605F">
                                  <w:pPr>
                                    <w:spacing w:before="120" w:after="120" w:line="240" w:lineRule="auto"/>
                                    <w:jc w:val="both"/>
                                    <w:rPr>
                                      <w:rFonts w:ascii="Kohinoor Devanagari" w:eastAsiaTheme="majorEastAsia" w:hAnsi="Kohinoor Devanagari" w:cs="Kohinoor Devanagari"/>
                                      <w:b/>
                                      <w:bCs/>
                                      <w:color w:val="FFFFFF" w:themeColor="background1"/>
                                      <w:spacing w:val="-10"/>
                                      <w:kern w:val="28"/>
                                      <w:sz w:val="28"/>
                                      <w:szCs w:val="28"/>
                                    </w:rPr>
                                  </w:pPr>
                                </w:p>
                                <w:p w14:paraId="66695939" w14:textId="77777777" w:rsidR="00C57147" w:rsidRPr="007B605F" w:rsidRDefault="00C57147" w:rsidP="00C57147">
                                  <w:pPr>
                                    <w:spacing w:before="120" w:after="120" w:line="240" w:lineRule="auto"/>
                                    <w:jc w:val="both"/>
                                    <w:rPr>
                                      <w:rFonts w:ascii="Kohinoor Devanagari" w:eastAsiaTheme="majorEastAsia" w:hAnsi="Kohinoor Devanagari" w:cs="Kohinoor Devanagari"/>
                                      <w:b/>
                                      <w:bCs/>
                                      <w:color w:val="FFFFFF" w:themeColor="background1"/>
                                      <w:spacing w:val="-10"/>
                                      <w:kern w:val="28"/>
                                      <w:sz w:val="28"/>
                                      <w:szCs w:val="28"/>
                                    </w:rPr>
                                  </w:pPr>
                                  <w:r w:rsidRPr="007B605F">
                                    <w:rPr>
                                      <w:rFonts w:ascii="Kohinoor Devanagari" w:eastAsiaTheme="majorEastAsia" w:hAnsi="Kohinoor Devanagari" w:cs="Kohinoor Devanagari"/>
                                      <w:b/>
                                      <w:bCs/>
                                      <w:color w:val="FFFFFF" w:themeColor="background1"/>
                                      <w:spacing w:val="-10"/>
                                      <w:kern w:val="28"/>
                                      <w:sz w:val="28"/>
                                      <w:szCs w:val="28"/>
                                    </w:rPr>
                                    <w:t>Assessment of Systematic Disclosure Practices and Policy Recommendations</w:t>
                                  </w:r>
                                </w:p>
                                <w:p w14:paraId="388C3A9B" w14:textId="77777777" w:rsidR="00C57147" w:rsidRPr="007B605F" w:rsidRDefault="00C57147" w:rsidP="00C57147">
                                  <w:pPr>
                                    <w:rPr>
                                      <w:rFonts w:ascii="Kohinoor Devanagari" w:hAnsi="Kohinoor Devanagari" w:cs="Kohinoor Devanagari"/>
                                      <w:sz w:val="28"/>
                                      <w:szCs w:val="28"/>
                                    </w:rPr>
                                  </w:pPr>
                                </w:p>
                              </w:tc>
                            </w:tr>
                            <w:tr w:rsidR="007B605F" w:rsidRPr="007B605F" w14:paraId="3406C21B" w14:textId="77777777" w:rsidTr="007B605F">
                              <w:trPr>
                                <w:trHeight w:val="714"/>
                                <w:jc w:val="center"/>
                              </w:trPr>
                              <w:tc>
                                <w:tcPr>
                                  <w:tcW w:w="5000" w:type="pct"/>
                                  <w:tcBorders>
                                    <w:top w:val="nil"/>
                                    <w:left w:val="nil"/>
                                    <w:bottom w:val="nil"/>
                                    <w:right w:val="nil"/>
                                  </w:tcBorders>
                                  <w:shd w:val="clear" w:color="auto" w:fill="47626F"/>
                                </w:tcPr>
                                <w:p w14:paraId="1E63C5DB" w14:textId="77777777" w:rsidR="004810CE" w:rsidRPr="007B605F" w:rsidRDefault="004810CE" w:rsidP="00C1766B">
                                  <w:pPr>
                                    <w:rPr>
                                      <w:rFonts w:ascii="Kohinoor Devanagari" w:hAnsi="Kohinoor Devanagari" w:cs="Kohinoor Devanagari"/>
                                      <w:color w:val="92D050"/>
                                      <w:sz w:val="28"/>
                                      <w:szCs w:val="28"/>
                                      <w:lang w:val="fr-FR"/>
                                    </w:rPr>
                                  </w:pPr>
                                </w:p>
                                <w:p w14:paraId="740E8C70" w14:textId="77777777" w:rsidR="004810CE" w:rsidRPr="004810CE" w:rsidRDefault="004810CE" w:rsidP="004810CE">
                                  <w:pPr>
                                    <w:rPr>
                                      <w:rFonts w:ascii="Kohinoor Devanagari" w:hAnsi="Kohinoor Devanagari" w:cs="Kohinoor Devanagari"/>
                                      <w:color w:val="FFFFFF" w:themeColor="background1"/>
                                      <w:sz w:val="28"/>
                                      <w:szCs w:val="28"/>
                                    </w:rPr>
                                  </w:pPr>
                                  <w:r w:rsidRPr="004810CE">
                                    <w:rPr>
                                      <w:rFonts w:ascii="Kohinoor Devanagari" w:hAnsi="Kohinoor Devanagari" w:cs="Kohinoor Devanagari"/>
                                      <w:b/>
                                      <w:bCs/>
                                      <w:color w:val="FFFFFF" w:themeColor="background1"/>
                                      <w:sz w:val="28"/>
                                      <w:szCs w:val="28"/>
                                    </w:rPr>
                                    <w:t xml:space="preserve">Prepared By </w:t>
                                  </w:r>
                                </w:p>
                                <w:p w14:paraId="0317683E" w14:textId="1FDC48F8" w:rsidR="004810CE" w:rsidRPr="007B605F" w:rsidRDefault="00C21EA2" w:rsidP="00C1766B">
                                  <w:pPr>
                                    <w:rPr>
                                      <w:rFonts w:ascii="Kohinoor Devanagari" w:hAnsi="Kohinoor Devanagari" w:cs="Kohinoor Devanagari"/>
                                      <w:sz w:val="28"/>
                                      <w:szCs w:val="28"/>
                                      <w:lang w:val="fr-FR"/>
                                    </w:rPr>
                                  </w:pPr>
                                  <w:r w:rsidRPr="007B605F">
                                    <w:rPr>
                                      <w:rFonts w:ascii="Kohinoor Devanagari" w:hAnsi="Kohinoor Devanagari" w:cs="Kohinoor Devanagari"/>
                                      <w:color w:val="FFFFFF" w:themeColor="background1"/>
                                      <w:sz w:val="28"/>
                                      <w:szCs w:val="28"/>
                                    </w:rPr>
                                    <w:t>Karim Lourimi</w:t>
                                  </w:r>
                                </w:p>
                              </w:tc>
                            </w:tr>
                            <w:tr w:rsidR="007B605F" w:rsidRPr="007B605F" w14:paraId="03069791" w14:textId="77777777" w:rsidTr="007B605F">
                              <w:trPr>
                                <w:trHeight w:val="839"/>
                                <w:jc w:val="center"/>
                              </w:trPr>
                              <w:tc>
                                <w:tcPr>
                                  <w:tcW w:w="5000" w:type="pct"/>
                                  <w:tcBorders>
                                    <w:top w:val="nil"/>
                                    <w:left w:val="nil"/>
                                    <w:bottom w:val="nil"/>
                                    <w:right w:val="nil"/>
                                  </w:tcBorders>
                                  <w:shd w:val="clear" w:color="auto" w:fill="47626F"/>
                                  <w:vAlign w:val="center"/>
                                </w:tcPr>
                                <w:p w14:paraId="6BCDB0CA" w14:textId="77777777" w:rsidR="00A053D3" w:rsidRPr="007B605F" w:rsidRDefault="00A053D3" w:rsidP="00C57147">
                                  <w:pPr>
                                    <w:ind w:right="327"/>
                                    <w:jc w:val="right"/>
                                    <w:rPr>
                                      <w:rFonts w:ascii="Kohinoor Devanagari" w:hAnsi="Kohinoor Devanagari" w:cs="Kohinoor Devanagari"/>
                                      <w:color w:val="FFFFFF" w:themeColor="background1"/>
                                      <w:sz w:val="28"/>
                                      <w:szCs w:val="28"/>
                                    </w:rPr>
                                  </w:pPr>
                                </w:p>
                                <w:p w14:paraId="02514667" w14:textId="63F93E08" w:rsidR="00C57147" w:rsidRPr="007B605F" w:rsidRDefault="00C57147" w:rsidP="00C57147">
                                  <w:pPr>
                                    <w:ind w:right="327"/>
                                    <w:jc w:val="right"/>
                                    <w:rPr>
                                      <w:rFonts w:ascii="Kohinoor Devanagari" w:hAnsi="Kohinoor Devanagari" w:cs="Kohinoor Devanagari"/>
                                      <w:sz w:val="28"/>
                                      <w:szCs w:val="28"/>
                                    </w:rPr>
                                  </w:pPr>
                                  <w:r w:rsidRPr="007B605F">
                                    <w:rPr>
                                      <w:rFonts w:ascii="Kohinoor Devanagari" w:hAnsi="Kohinoor Devanagari" w:cs="Kohinoor Devanagari"/>
                                      <w:color w:val="FFFFFF" w:themeColor="background1"/>
                                      <w:sz w:val="28"/>
                                      <w:szCs w:val="28"/>
                                    </w:rPr>
                                    <w:t>May 2025</w:t>
                                  </w:r>
                                </w:p>
                              </w:tc>
                            </w:tr>
                          </w:tbl>
                          <w:p w14:paraId="6F4C8B2B" w14:textId="77777777" w:rsidR="00C57147" w:rsidRDefault="00C57147" w:rsidP="00C57147">
                            <w:pPr>
                              <w:jc w:val="center"/>
                            </w:pPr>
                          </w:p>
                        </w:txbxContent>
                      </wps:txbx>
                      <wps:bodyPr rot="0" vert="horz" wrap="square" lIns="80147" tIns="40075" rIns="80147" bIns="40075"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FB4539D" id="Rectangle 1" o:spid="_x0000_s1026" style="position:absolute;margin-left:543.25pt;margin-top:-75.3pt;width:594.45pt;height:846.7pt;z-index:25165824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" fillcolor="#47626f" stroked="f" strokeweight=".25pt">
                <v:textbox inset="2.22631mm,1.1132mm,2.22631mm,1.1132mm">
                  <w:txbxContent>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7626F"/>
                        <w:tblCellMar>
                          <w:left w:w="0" w:type="dxa"/>
                          <w:right w:w="0" w:type="dxa"/>
                        </w:tblCellMar>
                        <w:tblLook w:val="0000" w:firstRow="0" w:lastRow="0" w:firstColumn="0" w:lastColumn="0" w:noHBand="0" w:noVBand="0"/>
                      </w:tblPr>
                      <w:tblGrid>
                        <w:gridCol w:w="11649"/>
                      </w:tblGrid>
                      <w:tr w:rsidR="007B605F" w:rsidRPr="007B605F" w14:paraId="76B118F5" w14:textId="77777777" w:rsidTr="007B605F">
                        <w:trPr>
                          <w:trHeight w:val="1432"/>
                          <w:jc w:val="center"/>
                        </w:trPr>
                        <w:tc>
                          <w:tcPr>
                            <w:tcW w:w="5000" w:type="pct"/>
                            <w:tcBorders>
                              <w:top w:val="nil"/>
                              <w:left w:val="nil"/>
                              <w:bottom w:val="nil"/>
                              <w:right w:val="nil"/>
                            </w:tcBorders>
                            <w:shd w:val="clear" w:color="auto" w:fill="47626F"/>
                          </w:tcPr>
                          <w:p w14:paraId="3C0D44C9" w14:textId="77777777" w:rsidR="00C57147" w:rsidRPr="007B605F" w:rsidRDefault="00C57147" w:rsidP="00C57147">
                            <w:pPr>
                              <w:spacing w:before="120" w:after="120"/>
                              <w:rPr>
                                <w:rFonts w:ascii="Kohinoor Devanagari" w:eastAsiaTheme="majorEastAsia" w:hAnsi="Kohinoor Devanagari" w:cs="Kohinoor Devanagari"/>
                                <w:b/>
                                <w:bCs/>
                                <w:color w:val="FFFFFF" w:themeColor="background1"/>
                                <w:spacing w:val="-10"/>
                                <w:kern w:val="28"/>
                                <w:sz w:val="28"/>
                                <w:szCs w:val="28"/>
                              </w:rPr>
                            </w:pPr>
                            <w:r w:rsidRPr="007B605F">
                              <w:rPr>
                                <w:rFonts w:ascii="Kohinoor Devanagari" w:eastAsiaTheme="majorEastAsia" w:hAnsi="Kohinoor Devanagari" w:cs="Kohinoor Devanagari"/>
                                <w:b/>
                                <w:bCs/>
                                <w:color w:val="FFFFFF" w:themeColor="background1"/>
                                <w:spacing w:val="-10"/>
                                <w:kern w:val="28"/>
                                <w:sz w:val="28"/>
                                <w:szCs w:val="28"/>
                              </w:rPr>
                              <w:t xml:space="preserve">Extractives Global Programmatic Support - EGPS </w:t>
                            </w:r>
                          </w:p>
                          <w:p w14:paraId="05CB6188" w14:textId="01A7B302" w:rsidR="00C57147" w:rsidRDefault="00C57147" w:rsidP="007B605F">
                            <w:pPr>
                              <w:spacing w:before="120" w:after="120" w:line="240" w:lineRule="auto"/>
                              <w:jc w:val="both"/>
                              <w:rPr>
                                <w:rFonts w:ascii="Kohinoor Devanagari" w:eastAsiaTheme="majorEastAsia" w:hAnsi="Kohinoor Devanagari" w:cs="Kohinoor Devanagari"/>
                                <w:b/>
                                <w:bCs/>
                                <w:color w:val="FFFFFF" w:themeColor="background1"/>
                                <w:spacing w:val="-10"/>
                                <w:kern w:val="28"/>
                                <w:sz w:val="28"/>
                                <w:szCs w:val="28"/>
                              </w:rPr>
                            </w:pPr>
                            <w:r w:rsidRPr="007B605F">
                              <w:rPr>
                                <w:rFonts w:ascii="Kohinoor Devanagari" w:eastAsiaTheme="majorEastAsia" w:hAnsi="Kohinoor Devanagari" w:cs="Kohinoor Devanagari"/>
                                <w:b/>
                                <w:bCs/>
                                <w:color w:val="FFFFFF" w:themeColor="background1"/>
                                <w:spacing w:val="-10"/>
                                <w:kern w:val="28"/>
                                <w:sz w:val="28"/>
                                <w:szCs w:val="28"/>
                              </w:rPr>
                              <w:t>Iraq Extractive Industries Transparency Initiative (EITI) (P505507)</w:t>
                            </w:r>
                          </w:p>
                          <w:p w14:paraId="05A5E74F" w14:textId="77777777" w:rsidR="007B605F" w:rsidRPr="007B605F" w:rsidRDefault="007B605F" w:rsidP="007B605F">
                            <w:pPr>
                              <w:spacing w:before="120" w:after="120" w:line="240" w:lineRule="auto"/>
                              <w:jc w:val="both"/>
                              <w:rPr>
                                <w:rFonts w:ascii="Kohinoor Devanagari" w:eastAsiaTheme="majorEastAsia" w:hAnsi="Kohinoor Devanagari" w:cs="Kohinoor Devanagari"/>
                                <w:b/>
                                <w:bCs/>
                                <w:color w:val="FFFFFF" w:themeColor="background1"/>
                                <w:spacing w:val="-10"/>
                                <w:kern w:val="28"/>
                                <w:sz w:val="28"/>
                                <w:szCs w:val="28"/>
                              </w:rPr>
                            </w:pPr>
                          </w:p>
                          <w:p w14:paraId="66695939" w14:textId="77777777" w:rsidR="00C57147" w:rsidRPr="007B605F" w:rsidRDefault="00C57147" w:rsidP="00C57147">
                            <w:pPr>
                              <w:spacing w:before="120" w:after="120" w:line="240" w:lineRule="auto"/>
                              <w:jc w:val="both"/>
                              <w:rPr>
                                <w:rFonts w:ascii="Kohinoor Devanagari" w:eastAsiaTheme="majorEastAsia" w:hAnsi="Kohinoor Devanagari" w:cs="Kohinoor Devanagari"/>
                                <w:b/>
                                <w:bCs/>
                                <w:color w:val="FFFFFF" w:themeColor="background1"/>
                                <w:spacing w:val="-10"/>
                                <w:kern w:val="28"/>
                                <w:sz w:val="28"/>
                                <w:szCs w:val="28"/>
                              </w:rPr>
                            </w:pPr>
                            <w:r w:rsidRPr="007B605F">
                              <w:rPr>
                                <w:rFonts w:ascii="Kohinoor Devanagari" w:eastAsiaTheme="majorEastAsia" w:hAnsi="Kohinoor Devanagari" w:cs="Kohinoor Devanagari"/>
                                <w:b/>
                                <w:bCs/>
                                <w:color w:val="FFFFFF" w:themeColor="background1"/>
                                <w:spacing w:val="-10"/>
                                <w:kern w:val="28"/>
                                <w:sz w:val="28"/>
                                <w:szCs w:val="28"/>
                              </w:rPr>
                              <w:t>Assessment of Systematic Disclosure Practices and Policy Recommendations</w:t>
                            </w:r>
                          </w:p>
                          <w:p w14:paraId="388C3A9B" w14:textId="77777777" w:rsidR="00C57147" w:rsidRPr="007B605F" w:rsidRDefault="00C57147" w:rsidP="00C57147">
                            <w:pPr>
                              <w:rPr>
                                <w:rFonts w:ascii="Kohinoor Devanagari" w:hAnsi="Kohinoor Devanagari" w:cs="Kohinoor Devanagari"/>
                                <w:sz w:val="28"/>
                                <w:szCs w:val="28"/>
                              </w:rPr>
                            </w:pPr>
                          </w:p>
                        </w:tc>
                      </w:tr>
                      <w:tr w:rsidR="007B605F" w:rsidRPr="007B605F" w14:paraId="3406C21B" w14:textId="77777777" w:rsidTr="007B605F">
                        <w:trPr>
                          <w:trHeight w:val="714"/>
                          <w:jc w:val="center"/>
                        </w:trPr>
                        <w:tc>
                          <w:tcPr>
                            <w:tcW w:w="5000" w:type="pct"/>
                            <w:tcBorders>
                              <w:top w:val="nil"/>
                              <w:left w:val="nil"/>
                              <w:bottom w:val="nil"/>
                              <w:right w:val="nil"/>
                            </w:tcBorders>
                            <w:shd w:val="clear" w:color="auto" w:fill="47626F"/>
                          </w:tcPr>
                          <w:p w14:paraId="1E63C5DB" w14:textId="77777777" w:rsidR="004810CE" w:rsidRPr="007B605F" w:rsidRDefault="004810CE" w:rsidP="00C1766B">
                            <w:pPr>
                              <w:rPr>
                                <w:rFonts w:ascii="Kohinoor Devanagari" w:hAnsi="Kohinoor Devanagari" w:cs="Kohinoor Devanagari"/>
                                <w:color w:val="92D050"/>
                                <w:sz w:val="28"/>
                                <w:szCs w:val="28"/>
                                <w:lang w:val="fr-FR"/>
                              </w:rPr>
                            </w:pPr>
                          </w:p>
                          <w:p w14:paraId="740E8C70" w14:textId="77777777" w:rsidR="004810CE" w:rsidRPr="004810CE" w:rsidRDefault="004810CE" w:rsidP="004810CE">
                            <w:pPr>
                              <w:rPr>
                                <w:rFonts w:ascii="Kohinoor Devanagari" w:hAnsi="Kohinoor Devanagari" w:cs="Kohinoor Devanagari"/>
                                <w:color w:val="FFFFFF" w:themeColor="background1"/>
                                <w:sz w:val="28"/>
                                <w:szCs w:val="28"/>
                              </w:rPr>
                            </w:pPr>
                            <w:r w:rsidRPr="004810CE">
                              <w:rPr>
                                <w:rFonts w:ascii="Kohinoor Devanagari" w:hAnsi="Kohinoor Devanagari" w:cs="Kohinoor Devanagari"/>
                                <w:b/>
                                <w:bCs/>
                                <w:color w:val="FFFFFF" w:themeColor="background1"/>
                                <w:sz w:val="28"/>
                                <w:szCs w:val="28"/>
                              </w:rPr>
                              <w:t xml:space="preserve">Prepared By </w:t>
                            </w:r>
                          </w:p>
                          <w:p w14:paraId="0317683E" w14:textId="1FDC48F8" w:rsidR="004810CE" w:rsidRPr="007B605F" w:rsidRDefault="00C21EA2" w:rsidP="00C1766B">
                            <w:pPr>
                              <w:rPr>
                                <w:rFonts w:ascii="Kohinoor Devanagari" w:hAnsi="Kohinoor Devanagari" w:cs="Kohinoor Devanagari"/>
                                <w:sz w:val="28"/>
                                <w:szCs w:val="28"/>
                                <w:lang w:val="fr-FR"/>
                              </w:rPr>
                            </w:pPr>
                            <w:r w:rsidRPr="007B605F">
                              <w:rPr>
                                <w:rFonts w:ascii="Kohinoor Devanagari" w:hAnsi="Kohinoor Devanagari" w:cs="Kohinoor Devanagari"/>
                                <w:color w:val="FFFFFF" w:themeColor="background1"/>
                                <w:sz w:val="28"/>
                                <w:szCs w:val="28"/>
                              </w:rPr>
                              <w:t>Karim Lourimi</w:t>
                            </w:r>
                          </w:p>
                        </w:tc>
                      </w:tr>
                      <w:tr w:rsidR="007B605F" w:rsidRPr="007B605F" w14:paraId="03069791" w14:textId="77777777" w:rsidTr="007B605F">
                        <w:trPr>
                          <w:trHeight w:val="839"/>
                          <w:jc w:val="center"/>
                        </w:trPr>
                        <w:tc>
                          <w:tcPr>
                            <w:tcW w:w="5000" w:type="pct"/>
                            <w:tcBorders>
                              <w:top w:val="nil"/>
                              <w:left w:val="nil"/>
                              <w:bottom w:val="nil"/>
                              <w:right w:val="nil"/>
                            </w:tcBorders>
                            <w:shd w:val="clear" w:color="auto" w:fill="47626F"/>
                            <w:vAlign w:val="center"/>
                          </w:tcPr>
                          <w:p w14:paraId="6BCDB0CA" w14:textId="77777777" w:rsidR="00A053D3" w:rsidRPr="007B605F" w:rsidRDefault="00A053D3" w:rsidP="00C57147">
                            <w:pPr>
                              <w:ind w:right="327"/>
                              <w:jc w:val="right"/>
                              <w:rPr>
                                <w:rFonts w:ascii="Kohinoor Devanagari" w:hAnsi="Kohinoor Devanagari" w:cs="Kohinoor Devanagari"/>
                                <w:color w:val="FFFFFF" w:themeColor="background1"/>
                                <w:sz w:val="28"/>
                                <w:szCs w:val="28"/>
                              </w:rPr>
                            </w:pPr>
                          </w:p>
                          <w:p w14:paraId="02514667" w14:textId="63F93E08" w:rsidR="00C57147" w:rsidRPr="007B605F" w:rsidRDefault="00C57147" w:rsidP="00C57147">
                            <w:pPr>
                              <w:ind w:right="327"/>
                              <w:jc w:val="right"/>
                              <w:rPr>
                                <w:rFonts w:ascii="Kohinoor Devanagari" w:hAnsi="Kohinoor Devanagari" w:cs="Kohinoor Devanagari"/>
                                <w:sz w:val="28"/>
                                <w:szCs w:val="28"/>
                              </w:rPr>
                            </w:pPr>
                            <w:r w:rsidRPr="007B605F">
                              <w:rPr>
                                <w:rFonts w:ascii="Kohinoor Devanagari" w:hAnsi="Kohinoor Devanagari" w:cs="Kohinoor Devanagari"/>
                                <w:color w:val="FFFFFF" w:themeColor="background1"/>
                                <w:sz w:val="28"/>
                                <w:szCs w:val="28"/>
                              </w:rPr>
                              <w:t>May 2025</w:t>
                            </w:r>
                          </w:p>
                        </w:tc>
                      </w:tr>
                    </w:tbl>
                    <w:p w14:paraId="6F4C8B2B" w14:textId="77777777" w:rsidR="00C57147" w:rsidRDefault="00C57147" w:rsidP="00C57147">
                      <w:pPr>
                        <w:jc w:val="center"/>
                      </w:pPr>
                    </w:p>
                  </w:txbxContent>
                </v:textbox>
                <w10:wrap anchorx="page"/>
              </v:rect>
            </w:pict>
          </mc:Fallback>
        </mc:AlternateContent>
      </w:r>
      <w:r w:rsidRPr="00A3573B">
        <w:rPr>
          <w:rFonts w:ascii="Kohinoor Devanagari" w:hAnsi="Kohinoor Devanagari" w:cs="Kohinoor Devanagari"/>
        </w:rPr>
        <w:t>²</w:t>
      </w:r>
      <w:r w:rsidRPr="00A3573B">
        <w:rPr>
          <w:rFonts w:ascii="Kohinoor Devanagari" w:hAnsi="Kohinoor Devanagari" w:cs="Kohinoor Devanagari"/>
        </w:rPr>
        <w:br w:type="page"/>
      </w:r>
      <w:bookmarkStart w:id="1" w:name="_Toc536002909"/>
      <w:r w:rsidR="00590EF6" w:rsidRPr="00442C82">
        <w:rPr>
          <w:rFonts w:ascii="Kohinoor Devanagari" w:eastAsia="Trebuchet MS" w:hAnsi="Kohinoor Devanagari" w:cs="Kohinoor Devanagari"/>
          <w:b/>
          <w:color w:val="61BC4D"/>
          <w:kern w:val="0"/>
          <w:sz w:val="26"/>
          <w:szCs w:val="26"/>
          <w:lang w:eastAsia="en-GB"/>
          <w14:ligatures w14:val="none"/>
        </w:rPr>
        <w:lastRenderedPageBreak/>
        <w:t>Table of Contents</w:t>
      </w:r>
      <w:r w:rsidRPr="00442C82">
        <w:rPr>
          <w:rFonts w:ascii="Kohinoor Devanagari" w:eastAsia="Trebuchet MS" w:hAnsi="Kohinoor Devanagari" w:cs="Kohinoor Devanagari"/>
          <w:b/>
          <w:color w:val="61BC4D"/>
          <w:kern w:val="0"/>
          <w:sz w:val="26"/>
          <w:szCs w:val="26"/>
          <w:lang w:eastAsia="en-GB"/>
          <w14:ligatures w14:val="none"/>
        </w:rPr>
        <w:t xml:space="preserve"> </w:t>
      </w:r>
    </w:p>
    <w:p w14:paraId="7B51457E" w14:textId="20E5652F" w:rsidR="00B947AE" w:rsidRDefault="002E77A2">
      <w:pPr>
        <w:pStyle w:val="TOC1"/>
        <w:rPr>
          <w:rFonts w:asciiTheme="minorHAnsi" w:eastAsiaTheme="minorEastAsia" w:hAnsiTheme="minorHAnsi" w:cstheme="minorBidi"/>
          <w:b w:val="0"/>
          <w:bCs w:val="0"/>
          <w:caps w:val="0"/>
          <w:kern w:val="2"/>
          <w:sz w:val="24"/>
          <w:szCs w:val="24"/>
          <w:lang w:eastAsia="fr-FR"/>
        </w:rPr>
      </w:pPr>
      <w:r w:rsidRPr="004C46D6">
        <w:rPr>
          <w:rFonts w:ascii="Kohinoor Devanagari" w:hAnsi="Kohinoor Devanagari" w:cs="Kohinoor Devanagari"/>
          <w:sz w:val="22"/>
          <w:szCs w:val="22"/>
        </w:rPr>
        <w:fldChar w:fldCharType="begin"/>
      </w:r>
      <w:r w:rsidRPr="004C46D6">
        <w:rPr>
          <w:rFonts w:ascii="Kohinoor Devanagari" w:hAnsi="Kohinoor Devanagari" w:cs="Kohinoor Devanagari"/>
          <w:sz w:val="22"/>
          <w:szCs w:val="22"/>
        </w:rPr>
        <w:instrText xml:space="preserve"> TOC \o "1-2" \h \z \u </w:instrText>
      </w:r>
      <w:r w:rsidRPr="004C46D6">
        <w:rPr>
          <w:rFonts w:ascii="Kohinoor Devanagari" w:hAnsi="Kohinoor Devanagari" w:cs="Kohinoor Devanagari"/>
          <w:sz w:val="22"/>
          <w:szCs w:val="22"/>
        </w:rPr>
        <w:fldChar w:fldCharType="separate"/>
      </w:r>
      <w:hyperlink w:anchor="_Toc194240147" w:history="1">
        <w:r w:rsidR="00B947AE" w:rsidRPr="00052C7B">
          <w:rPr>
            <w:rStyle w:val="Hyperlink"/>
            <w:rFonts w:ascii="Kohinoor Devanagari" w:hAnsi="Kohinoor Devanagari" w:cs="Kohinoor Devanagari"/>
            <w14:ligatures w14:val="none"/>
          </w:rPr>
          <w:t>1. Introduction</w:t>
        </w:r>
        <w:r w:rsidR="00B947AE">
          <w:rPr>
            <w:webHidden/>
          </w:rPr>
          <w:tab/>
        </w:r>
        <w:r w:rsidR="00B947AE">
          <w:rPr>
            <w:webHidden/>
          </w:rPr>
          <w:fldChar w:fldCharType="begin"/>
        </w:r>
        <w:r w:rsidR="00B947AE">
          <w:rPr>
            <w:webHidden/>
          </w:rPr>
          <w:instrText xml:space="preserve"> PAGEREF _Toc194240147 \h </w:instrText>
        </w:r>
        <w:r w:rsidR="00B947AE">
          <w:rPr>
            <w:webHidden/>
          </w:rPr>
        </w:r>
        <w:r w:rsidR="00B947AE">
          <w:rPr>
            <w:webHidden/>
          </w:rPr>
          <w:fldChar w:fldCharType="separate"/>
        </w:r>
        <w:r w:rsidR="003D14B6">
          <w:rPr>
            <w:webHidden/>
          </w:rPr>
          <w:t>6</w:t>
        </w:r>
        <w:r w:rsidR="00B947AE">
          <w:rPr>
            <w:webHidden/>
          </w:rPr>
          <w:fldChar w:fldCharType="end"/>
        </w:r>
      </w:hyperlink>
    </w:p>
    <w:p w14:paraId="77E3F2E6" w14:textId="6E3A1756" w:rsidR="00B947AE" w:rsidRDefault="00B947AE">
      <w:pPr>
        <w:pStyle w:val="TOC2"/>
        <w:tabs>
          <w:tab w:val="left" w:pos="960"/>
          <w:tab w:val="right" w:leader="dot" w:pos="9338"/>
        </w:tabs>
        <w:rPr>
          <w:rFonts w:eastAsiaTheme="minorEastAsia"/>
          <w:noProof/>
          <w:sz w:val="24"/>
          <w:szCs w:val="24"/>
          <w:lang w:eastAsia="fr-FR"/>
        </w:rPr>
      </w:pPr>
      <w:hyperlink w:anchor="_Toc194240148" w:history="1">
        <w:r w:rsidRPr="00052C7B">
          <w:rPr>
            <w:rStyle w:val="Hyperlink"/>
            <w:rFonts w:ascii="Kohinoor Devanagari" w:hAnsi="Kohinoor Devanagari" w:cs="Kohinoor Devanagari"/>
            <w:b/>
            <w:bCs/>
            <w:noProof/>
          </w:rPr>
          <w:t>1.1.</w:t>
        </w:r>
        <w:r>
          <w:rPr>
            <w:rFonts w:eastAsiaTheme="minorEastAsia"/>
            <w:noProof/>
            <w:sz w:val="24"/>
            <w:szCs w:val="24"/>
            <w:lang w:eastAsia="fr-FR"/>
          </w:rPr>
          <w:tab/>
        </w:r>
        <w:r w:rsidRPr="00052C7B">
          <w:rPr>
            <w:rStyle w:val="Hyperlink"/>
            <w:rFonts w:ascii="Kohinoor Devanagari" w:hAnsi="Kohinoor Devanagari" w:cs="Kohinoor Devanagari"/>
            <w:b/>
            <w:bCs/>
            <w:noProof/>
          </w:rPr>
          <w:t>Background and context of systematic disclosure</w:t>
        </w:r>
        <w:r>
          <w:rPr>
            <w:noProof/>
            <w:webHidden/>
          </w:rPr>
          <w:tab/>
        </w:r>
        <w:r>
          <w:rPr>
            <w:noProof/>
            <w:webHidden/>
          </w:rPr>
          <w:fldChar w:fldCharType="begin"/>
        </w:r>
        <w:r>
          <w:rPr>
            <w:noProof/>
            <w:webHidden/>
          </w:rPr>
          <w:instrText xml:space="preserve"> PAGEREF _Toc194240148 \h </w:instrText>
        </w:r>
        <w:r>
          <w:rPr>
            <w:noProof/>
            <w:webHidden/>
          </w:rPr>
        </w:r>
        <w:r>
          <w:rPr>
            <w:noProof/>
            <w:webHidden/>
          </w:rPr>
          <w:fldChar w:fldCharType="separate"/>
        </w:r>
        <w:r w:rsidR="003D14B6">
          <w:rPr>
            <w:noProof/>
            <w:webHidden/>
          </w:rPr>
          <w:t>6</w:t>
        </w:r>
        <w:r>
          <w:rPr>
            <w:noProof/>
            <w:webHidden/>
          </w:rPr>
          <w:fldChar w:fldCharType="end"/>
        </w:r>
      </w:hyperlink>
    </w:p>
    <w:p w14:paraId="7EEA52C5" w14:textId="5EE05A6C" w:rsidR="00B947AE" w:rsidRDefault="00B947AE">
      <w:pPr>
        <w:pStyle w:val="TOC2"/>
        <w:tabs>
          <w:tab w:val="left" w:pos="960"/>
          <w:tab w:val="right" w:leader="dot" w:pos="9338"/>
        </w:tabs>
        <w:rPr>
          <w:rFonts w:eastAsiaTheme="minorEastAsia"/>
          <w:noProof/>
          <w:sz w:val="24"/>
          <w:szCs w:val="24"/>
          <w:lang w:eastAsia="fr-FR"/>
        </w:rPr>
      </w:pPr>
      <w:hyperlink w:anchor="_Toc194240149" w:history="1">
        <w:r w:rsidRPr="00052C7B">
          <w:rPr>
            <w:rStyle w:val="Hyperlink"/>
            <w:rFonts w:ascii="Kohinoor Devanagari" w:hAnsi="Kohinoor Devanagari" w:cs="Kohinoor Devanagari"/>
            <w:b/>
            <w:bCs/>
            <w:noProof/>
          </w:rPr>
          <w:t>1.2.</w:t>
        </w:r>
        <w:r>
          <w:rPr>
            <w:rFonts w:eastAsiaTheme="minorEastAsia"/>
            <w:noProof/>
            <w:sz w:val="24"/>
            <w:szCs w:val="24"/>
            <w:lang w:eastAsia="fr-FR"/>
          </w:rPr>
          <w:tab/>
        </w:r>
        <w:r w:rsidRPr="00052C7B">
          <w:rPr>
            <w:rStyle w:val="Hyperlink"/>
            <w:rFonts w:ascii="Kohinoor Devanagari" w:hAnsi="Kohinoor Devanagari" w:cs="Kohinoor Devanagari"/>
            <w:b/>
            <w:bCs/>
            <w:noProof/>
          </w:rPr>
          <w:t>Purpose and scope of the report</w:t>
        </w:r>
        <w:r>
          <w:rPr>
            <w:noProof/>
            <w:webHidden/>
          </w:rPr>
          <w:tab/>
        </w:r>
        <w:r>
          <w:rPr>
            <w:noProof/>
            <w:webHidden/>
          </w:rPr>
          <w:fldChar w:fldCharType="begin"/>
        </w:r>
        <w:r>
          <w:rPr>
            <w:noProof/>
            <w:webHidden/>
          </w:rPr>
          <w:instrText xml:space="preserve"> PAGEREF _Toc194240149 \h </w:instrText>
        </w:r>
        <w:r>
          <w:rPr>
            <w:noProof/>
            <w:webHidden/>
          </w:rPr>
        </w:r>
        <w:r>
          <w:rPr>
            <w:noProof/>
            <w:webHidden/>
          </w:rPr>
          <w:fldChar w:fldCharType="separate"/>
        </w:r>
        <w:r w:rsidR="003D14B6">
          <w:rPr>
            <w:noProof/>
            <w:webHidden/>
          </w:rPr>
          <w:t>6</w:t>
        </w:r>
        <w:r>
          <w:rPr>
            <w:noProof/>
            <w:webHidden/>
          </w:rPr>
          <w:fldChar w:fldCharType="end"/>
        </w:r>
      </w:hyperlink>
    </w:p>
    <w:p w14:paraId="7E763B16" w14:textId="0EF446C1" w:rsidR="00B947AE" w:rsidRDefault="00B947AE">
      <w:pPr>
        <w:pStyle w:val="TOC2"/>
        <w:tabs>
          <w:tab w:val="left" w:pos="960"/>
          <w:tab w:val="right" w:leader="dot" w:pos="9338"/>
        </w:tabs>
        <w:rPr>
          <w:rFonts w:eastAsiaTheme="minorEastAsia"/>
          <w:noProof/>
          <w:sz w:val="24"/>
          <w:szCs w:val="24"/>
          <w:lang w:eastAsia="fr-FR"/>
        </w:rPr>
      </w:pPr>
      <w:hyperlink w:anchor="_Toc194240150" w:history="1">
        <w:r w:rsidRPr="00052C7B">
          <w:rPr>
            <w:rStyle w:val="Hyperlink"/>
            <w:rFonts w:ascii="Kohinoor Devanagari" w:hAnsi="Kohinoor Devanagari" w:cs="Kohinoor Devanagari"/>
            <w:b/>
            <w:bCs/>
            <w:noProof/>
          </w:rPr>
          <w:t>1.3.</w:t>
        </w:r>
        <w:r>
          <w:rPr>
            <w:rFonts w:eastAsiaTheme="minorEastAsia"/>
            <w:noProof/>
            <w:sz w:val="24"/>
            <w:szCs w:val="24"/>
            <w:lang w:eastAsia="fr-FR"/>
          </w:rPr>
          <w:tab/>
        </w:r>
        <w:r w:rsidRPr="00052C7B">
          <w:rPr>
            <w:rStyle w:val="Hyperlink"/>
            <w:rFonts w:ascii="Kohinoor Devanagari" w:hAnsi="Kohinoor Devanagari" w:cs="Kohinoor Devanagari"/>
            <w:b/>
            <w:bCs/>
            <w:noProof/>
          </w:rPr>
          <w:t>Methodology and data sources</w:t>
        </w:r>
        <w:r>
          <w:rPr>
            <w:noProof/>
            <w:webHidden/>
          </w:rPr>
          <w:tab/>
        </w:r>
        <w:r>
          <w:rPr>
            <w:noProof/>
            <w:webHidden/>
          </w:rPr>
          <w:fldChar w:fldCharType="begin"/>
        </w:r>
        <w:r>
          <w:rPr>
            <w:noProof/>
            <w:webHidden/>
          </w:rPr>
          <w:instrText xml:space="preserve"> PAGEREF _Toc194240150 \h </w:instrText>
        </w:r>
        <w:r>
          <w:rPr>
            <w:noProof/>
            <w:webHidden/>
          </w:rPr>
        </w:r>
        <w:r>
          <w:rPr>
            <w:noProof/>
            <w:webHidden/>
          </w:rPr>
          <w:fldChar w:fldCharType="separate"/>
        </w:r>
        <w:r w:rsidR="003D14B6">
          <w:rPr>
            <w:noProof/>
            <w:webHidden/>
          </w:rPr>
          <w:t>7</w:t>
        </w:r>
        <w:r>
          <w:rPr>
            <w:noProof/>
            <w:webHidden/>
          </w:rPr>
          <w:fldChar w:fldCharType="end"/>
        </w:r>
      </w:hyperlink>
    </w:p>
    <w:p w14:paraId="18C5AE03" w14:textId="7504DAA8" w:rsidR="00B947AE" w:rsidRDefault="00B947AE">
      <w:pPr>
        <w:pStyle w:val="TOC2"/>
        <w:tabs>
          <w:tab w:val="left" w:pos="960"/>
          <w:tab w:val="right" w:leader="dot" w:pos="9338"/>
        </w:tabs>
        <w:rPr>
          <w:rFonts w:eastAsiaTheme="minorEastAsia"/>
          <w:noProof/>
          <w:sz w:val="24"/>
          <w:szCs w:val="24"/>
          <w:lang w:eastAsia="fr-FR"/>
        </w:rPr>
      </w:pPr>
      <w:hyperlink w:anchor="_Toc194240151" w:history="1">
        <w:r w:rsidRPr="00052C7B">
          <w:rPr>
            <w:rStyle w:val="Hyperlink"/>
            <w:rFonts w:ascii="Kohinoor Devanagari" w:hAnsi="Kohinoor Devanagari" w:cs="Kohinoor Devanagari"/>
            <w:b/>
            <w:bCs/>
            <w:noProof/>
          </w:rPr>
          <w:t>1.4.</w:t>
        </w:r>
        <w:r>
          <w:rPr>
            <w:rFonts w:eastAsiaTheme="minorEastAsia"/>
            <w:noProof/>
            <w:sz w:val="24"/>
            <w:szCs w:val="24"/>
            <w:lang w:eastAsia="fr-FR"/>
          </w:rPr>
          <w:tab/>
        </w:r>
        <w:r w:rsidRPr="00052C7B">
          <w:rPr>
            <w:rStyle w:val="Hyperlink"/>
            <w:rFonts w:ascii="Kohinoor Devanagari" w:hAnsi="Kohinoor Devanagari" w:cs="Kohinoor Devanagari"/>
            <w:b/>
            <w:bCs/>
            <w:noProof/>
          </w:rPr>
          <w:t>Structure of the report</w:t>
        </w:r>
        <w:r>
          <w:rPr>
            <w:noProof/>
            <w:webHidden/>
          </w:rPr>
          <w:tab/>
        </w:r>
        <w:r>
          <w:rPr>
            <w:noProof/>
            <w:webHidden/>
          </w:rPr>
          <w:fldChar w:fldCharType="begin"/>
        </w:r>
        <w:r>
          <w:rPr>
            <w:noProof/>
            <w:webHidden/>
          </w:rPr>
          <w:instrText xml:space="preserve"> PAGEREF _Toc194240151 \h </w:instrText>
        </w:r>
        <w:r>
          <w:rPr>
            <w:noProof/>
            <w:webHidden/>
          </w:rPr>
        </w:r>
        <w:r>
          <w:rPr>
            <w:noProof/>
            <w:webHidden/>
          </w:rPr>
          <w:fldChar w:fldCharType="separate"/>
        </w:r>
        <w:r w:rsidR="003D14B6">
          <w:rPr>
            <w:noProof/>
            <w:webHidden/>
          </w:rPr>
          <w:t>7</w:t>
        </w:r>
        <w:r>
          <w:rPr>
            <w:noProof/>
            <w:webHidden/>
          </w:rPr>
          <w:fldChar w:fldCharType="end"/>
        </w:r>
      </w:hyperlink>
    </w:p>
    <w:p w14:paraId="72B155AB" w14:textId="3BD6CFD4" w:rsidR="00B947AE" w:rsidRDefault="00B947AE">
      <w:pPr>
        <w:pStyle w:val="TOC1"/>
        <w:rPr>
          <w:rFonts w:asciiTheme="minorHAnsi" w:eastAsiaTheme="minorEastAsia" w:hAnsiTheme="minorHAnsi" w:cstheme="minorBidi"/>
          <w:b w:val="0"/>
          <w:bCs w:val="0"/>
          <w:caps w:val="0"/>
          <w:kern w:val="2"/>
          <w:sz w:val="24"/>
          <w:szCs w:val="24"/>
          <w:lang w:eastAsia="fr-FR"/>
        </w:rPr>
      </w:pPr>
      <w:hyperlink w:anchor="_Toc194240152" w:history="1">
        <w:r w:rsidRPr="00052C7B">
          <w:rPr>
            <w:rStyle w:val="Hyperlink"/>
            <w:rFonts w:ascii="Kohinoor Devanagari" w:hAnsi="Kohinoor Devanagari" w:cs="Kohinoor Devanagari"/>
            <w14:ligatures w14:val="none"/>
          </w:rPr>
          <w:t>2. Review of Existing Policies and their alignments with EITI requirements</w:t>
        </w:r>
        <w:r>
          <w:rPr>
            <w:webHidden/>
          </w:rPr>
          <w:tab/>
        </w:r>
        <w:r>
          <w:rPr>
            <w:webHidden/>
          </w:rPr>
          <w:fldChar w:fldCharType="begin"/>
        </w:r>
        <w:r>
          <w:rPr>
            <w:webHidden/>
          </w:rPr>
          <w:instrText xml:space="preserve"> PAGEREF _Toc194240152 \h </w:instrText>
        </w:r>
        <w:r>
          <w:rPr>
            <w:webHidden/>
          </w:rPr>
        </w:r>
        <w:r>
          <w:rPr>
            <w:webHidden/>
          </w:rPr>
          <w:fldChar w:fldCharType="separate"/>
        </w:r>
        <w:r w:rsidR="003D14B6">
          <w:rPr>
            <w:webHidden/>
          </w:rPr>
          <w:t>9</w:t>
        </w:r>
        <w:r>
          <w:rPr>
            <w:webHidden/>
          </w:rPr>
          <w:fldChar w:fldCharType="end"/>
        </w:r>
      </w:hyperlink>
    </w:p>
    <w:p w14:paraId="18308440" w14:textId="19B7D9BF" w:rsidR="00B947AE" w:rsidRDefault="00B947AE">
      <w:pPr>
        <w:pStyle w:val="TOC2"/>
        <w:tabs>
          <w:tab w:val="left" w:pos="960"/>
          <w:tab w:val="right" w:leader="dot" w:pos="9338"/>
        </w:tabs>
        <w:rPr>
          <w:rFonts w:eastAsiaTheme="minorEastAsia"/>
          <w:noProof/>
          <w:sz w:val="24"/>
          <w:szCs w:val="24"/>
          <w:lang w:eastAsia="fr-FR"/>
        </w:rPr>
      </w:pPr>
      <w:hyperlink w:anchor="_Toc194240153" w:history="1">
        <w:r w:rsidRPr="00052C7B">
          <w:rPr>
            <w:rStyle w:val="Hyperlink"/>
            <w:rFonts w:ascii="Kohinoor Devanagari" w:hAnsi="Kohinoor Devanagari" w:cs="Kohinoor Devanagari"/>
            <w:b/>
            <w:bCs/>
            <w:noProof/>
          </w:rPr>
          <w:t>2.1.</w:t>
        </w:r>
        <w:r>
          <w:rPr>
            <w:rFonts w:eastAsiaTheme="minorEastAsia"/>
            <w:noProof/>
            <w:sz w:val="24"/>
            <w:szCs w:val="24"/>
            <w:lang w:eastAsia="fr-FR"/>
          </w:rPr>
          <w:tab/>
        </w:r>
        <w:r w:rsidRPr="00052C7B">
          <w:rPr>
            <w:rStyle w:val="Hyperlink"/>
            <w:rFonts w:ascii="Kohinoor Devanagari" w:hAnsi="Kohinoor Devanagari" w:cs="Kohinoor Devanagari"/>
            <w:b/>
            <w:bCs/>
            <w:noProof/>
          </w:rPr>
          <w:t>Legal and Institutional Framework for Extractive Data Disclosure in Iraq</w:t>
        </w:r>
        <w:r>
          <w:rPr>
            <w:noProof/>
            <w:webHidden/>
          </w:rPr>
          <w:tab/>
        </w:r>
        <w:r>
          <w:rPr>
            <w:noProof/>
            <w:webHidden/>
          </w:rPr>
          <w:fldChar w:fldCharType="begin"/>
        </w:r>
        <w:r>
          <w:rPr>
            <w:noProof/>
            <w:webHidden/>
          </w:rPr>
          <w:instrText xml:space="preserve"> PAGEREF _Toc194240153 \h </w:instrText>
        </w:r>
        <w:r>
          <w:rPr>
            <w:noProof/>
            <w:webHidden/>
          </w:rPr>
        </w:r>
        <w:r>
          <w:rPr>
            <w:noProof/>
            <w:webHidden/>
          </w:rPr>
          <w:fldChar w:fldCharType="separate"/>
        </w:r>
        <w:r w:rsidR="003D14B6">
          <w:rPr>
            <w:noProof/>
            <w:webHidden/>
          </w:rPr>
          <w:t>9</w:t>
        </w:r>
        <w:r>
          <w:rPr>
            <w:noProof/>
            <w:webHidden/>
          </w:rPr>
          <w:fldChar w:fldCharType="end"/>
        </w:r>
      </w:hyperlink>
    </w:p>
    <w:p w14:paraId="184E39EF" w14:textId="719FDBC9" w:rsidR="00B947AE" w:rsidRDefault="00B947AE">
      <w:pPr>
        <w:pStyle w:val="TOC2"/>
        <w:tabs>
          <w:tab w:val="left" w:pos="960"/>
          <w:tab w:val="right" w:leader="dot" w:pos="9338"/>
        </w:tabs>
        <w:rPr>
          <w:rFonts w:eastAsiaTheme="minorEastAsia"/>
          <w:noProof/>
          <w:sz w:val="24"/>
          <w:szCs w:val="24"/>
          <w:lang w:eastAsia="fr-FR"/>
        </w:rPr>
      </w:pPr>
      <w:hyperlink w:anchor="_Toc194240154" w:history="1">
        <w:r w:rsidRPr="00052C7B">
          <w:rPr>
            <w:rStyle w:val="Hyperlink"/>
            <w:rFonts w:ascii="Kohinoor Devanagari" w:hAnsi="Kohinoor Devanagari" w:cs="Kohinoor Devanagari"/>
            <w:b/>
            <w:bCs/>
            <w:noProof/>
          </w:rPr>
          <w:t>2.2.</w:t>
        </w:r>
        <w:r>
          <w:rPr>
            <w:rFonts w:eastAsiaTheme="minorEastAsia"/>
            <w:noProof/>
            <w:sz w:val="24"/>
            <w:szCs w:val="24"/>
            <w:lang w:eastAsia="fr-FR"/>
          </w:rPr>
          <w:tab/>
        </w:r>
        <w:r w:rsidRPr="00052C7B">
          <w:rPr>
            <w:rStyle w:val="Hyperlink"/>
            <w:rFonts w:ascii="Kohinoor Devanagari" w:hAnsi="Kohinoor Devanagari" w:cs="Kohinoor Devanagari"/>
            <w:b/>
            <w:bCs/>
            <w:noProof/>
          </w:rPr>
          <w:t>Institutional and Policy Framework</w:t>
        </w:r>
        <w:r>
          <w:rPr>
            <w:noProof/>
            <w:webHidden/>
          </w:rPr>
          <w:tab/>
        </w:r>
        <w:r>
          <w:rPr>
            <w:noProof/>
            <w:webHidden/>
          </w:rPr>
          <w:fldChar w:fldCharType="begin"/>
        </w:r>
        <w:r>
          <w:rPr>
            <w:noProof/>
            <w:webHidden/>
          </w:rPr>
          <w:instrText xml:space="preserve"> PAGEREF _Toc194240154 \h </w:instrText>
        </w:r>
        <w:r>
          <w:rPr>
            <w:noProof/>
            <w:webHidden/>
          </w:rPr>
        </w:r>
        <w:r>
          <w:rPr>
            <w:noProof/>
            <w:webHidden/>
          </w:rPr>
          <w:fldChar w:fldCharType="separate"/>
        </w:r>
        <w:r w:rsidR="003D14B6">
          <w:rPr>
            <w:noProof/>
            <w:webHidden/>
          </w:rPr>
          <w:t>29</w:t>
        </w:r>
        <w:r>
          <w:rPr>
            <w:noProof/>
            <w:webHidden/>
          </w:rPr>
          <w:fldChar w:fldCharType="end"/>
        </w:r>
      </w:hyperlink>
    </w:p>
    <w:p w14:paraId="0C113F86" w14:textId="011E2BF0" w:rsidR="00B947AE" w:rsidRDefault="00B947AE">
      <w:pPr>
        <w:pStyle w:val="TOC1"/>
        <w:rPr>
          <w:rFonts w:asciiTheme="minorHAnsi" w:eastAsiaTheme="minorEastAsia" w:hAnsiTheme="minorHAnsi" w:cstheme="minorBidi"/>
          <w:b w:val="0"/>
          <w:bCs w:val="0"/>
          <w:caps w:val="0"/>
          <w:kern w:val="2"/>
          <w:sz w:val="24"/>
          <w:szCs w:val="24"/>
          <w:lang w:eastAsia="fr-FR"/>
        </w:rPr>
      </w:pPr>
      <w:hyperlink w:anchor="_Toc194240155" w:history="1">
        <w:r w:rsidRPr="00052C7B">
          <w:rPr>
            <w:rStyle w:val="Hyperlink"/>
            <w:rFonts w:ascii="Kohinoor Devanagari" w:hAnsi="Kohinoor Devanagari" w:cs="Kohinoor Devanagari"/>
            <w14:ligatures w14:val="none"/>
          </w:rPr>
          <w:t>3. Mapping of current disclosures practices against requirements</w:t>
        </w:r>
        <w:r>
          <w:rPr>
            <w:webHidden/>
          </w:rPr>
          <w:tab/>
        </w:r>
        <w:r>
          <w:rPr>
            <w:webHidden/>
          </w:rPr>
          <w:fldChar w:fldCharType="begin"/>
        </w:r>
        <w:r>
          <w:rPr>
            <w:webHidden/>
          </w:rPr>
          <w:instrText xml:space="preserve"> PAGEREF _Toc194240155 \h </w:instrText>
        </w:r>
        <w:r>
          <w:rPr>
            <w:webHidden/>
          </w:rPr>
        </w:r>
        <w:r>
          <w:rPr>
            <w:webHidden/>
          </w:rPr>
          <w:fldChar w:fldCharType="separate"/>
        </w:r>
        <w:r w:rsidR="003D14B6">
          <w:rPr>
            <w:webHidden/>
          </w:rPr>
          <w:t>35</w:t>
        </w:r>
        <w:r>
          <w:rPr>
            <w:webHidden/>
          </w:rPr>
          <w:fldChar w:fldCharType="end"/>
        </w:r>
      </w:hyperlink>
    </w:p>
    <w:p w14:paraId="0CBEA5EA" w14:textId="6FC3F8D6" w:rsidR="00B947AE" w:rsidRDefault="00B947AE">
      <w:pPr>
        <w:pStyle w:val="TOC2"/>
        <w:tabs>
          <w:tab w:val="left" w:pos="960"/>
          <w:tab w:val="right" w:leader="dot" w:pos="9338"/>
        </w:tabs>
        <w:rPr>
          <w:rFonts w:eastAsiaTheme="minorEastAsia"/>
          <w:noProof/>
          <w:sz w:val="24"/>
          <w:szCs w:val="24"/>
          <w:lang w:eastAsia="fr-FR"/>
        </w:rPr>
      </w:pPr>
      <w:hyperlink w:anchor="_Toc194240156" w:history="1">
        <w:r w:rsidRPr="00052C7B">
          <w:rPr>
            <w:rStyle w:val="Hyperlink"/>
            <w:rFonts w:ascii="Kohinoor Devanagari" w:hAnsi="Kohinoor Devanagari" w:cs="Kohinoor Devanagari"/>
            <w:b/>
            <w:bCs/>
            <w:noProof/>
          </w:rPr>
          <w:t>3.1.</w:t>
        </w:r>
        <w:r>
          <w:rPr>
            <w:rFonts w:eastAsiaTheme="minorEastAsia"/>
            <w:noProof/>
            <w:sz w:val="24"/>
            <w:szCs w:val="24"/>
            <w:lang w:eastAsia="fr-FR"/>
          </w:rPr>
          <w:tab/>
        </w:r>
        <w:r w:rsidRPr="00052C7B">
          <w:rPr>
            <w:rStyle w:val="Hyperlink"/>
            <w:rFonts w:ascii="Kohinoor Devanagari" w:hAnsi="Kohinoor Devanagari" w:cs="Kohinoor Devanagari"/>
            <w:b/>
            <w:bCs/>
            <w:noProof/>
          </w:rPr>
          <w:t>Legal environment and fiscal regime</w:t>
        </w:r>
        <w:r>
          <w:rPr>
            <w:noProof/>
            <w:webHidden/>
          </w:rPr>
          <w:tab/>
        </w:r>
        <w:r>
          <w:rPr>
            <w:noProof/>
            <w:webHidden/>
          </w:rPr>
          <w:fldChar w:fldCharType="begin"/>
        </w:r>
        <w:r>
          <w:rPr>
            <w:noProof/>
            <w:webHidden/>
          </w:rPr>
          <w:instrText xml:space="preserve"> PAGEREF _Toc194240156 \h </w:instrText>
        </w:r>
        <w:r>
          <w:rPr>
            <w:noProof/>
            <w:webHidden/>
          </w:rPr>
        </w:r>
        <w:r>
          <w:rPr>
            <w:noProof/>
            <w:webHidden/>
          </w:rPr>
          <w:fldChar w:fldCharType="separate"/>
        </w:r>
        <w:r w:rsidR="003D14B6">
          <w:rPr>
            <w:noProof/>
            <w:webHidden/>
          </w:rPr>
          <w:t>35</w:t>
        </w:r>
        <w:r>
          <w:rPr>
            <w:noProof/>
            <w:webHidden/>
          </w:rPr>
          <w:fldChar w:fldCharType="end"/>
        </w:r>
      </w:hyperlink>
    </w:p>
    <w:p w14:paraId="08EFB842" w14:textId="1DDEAAC6" w:rsidR="00B947AE" w:rsidRDefault="00B947AE">
      <w:pPr>
        <w:pStyle w:val="TOC2"/>
        <w:tabs>
          <w:tab w:val="left" w:pos="960"/>
          <w:tab w:val="right" w:leader="dot" w:pos="9338"/>
        </w:tabs>
        <w:rPr>
          <w:rFonts w:eastAsiaTheme="minorEastAsia"/>
          <w:noProof/>
          <w:sz w:val="24"/>
          <w:szCs w:val="24"/>
          <w:lang w:eastAsia="fr-FR"/>
        </w:rPr>
      </w:pPr>
      <w:hyperlink w:anchor="_Toc194240157" w:history="1">
        <w:r w:rsidRPr="00052C7B">
          <w:rPr>
            <w:rStyle w:val="Hyperlink"/>
            <w:rFonts w:ascii="Kohinoor Devanagari" w:hAnsi="Kohinoor Devanagari" w:cs="Kohinoor Devanagari"/>
            <w:b/>
            <w:bCs/>
            <w:noProof/>
          </w:rPr>
          <w:t>3.2.</w:t>
        </w:r>
        <w:r>
          <w:rPr>
            <w:rFonts w:eastAsiaTheme="minorEastAsia"/>
            <w:noProof/>
            <w:sz w:val="24"/>
            <w:szCs w:val="24"/>
            <w:lang w:eastAsia="fr-FR"/>
          </w:rPr>
          <w:tab/>
        </w:r>
        <w:r w:rsidRPr="00052C7B">
          <w:rPr>
            <w:rStyle w:val="Hyperlink"/>
            <w:rFonts w:ascii="Kohinoor Devanagari" w:hAnsi="Kohinoor Devanagari" w:cs="Kohinoor Devanagari"/>
            <w:b/>
            <w:bCs/>
            <w:noProof/>
          </w:rPr>
          <w:t>Licenses and property rights</w:t>
        </w:r>
        <w:r>
          <w:rPr>
            <w:noProof/>
            <w:webHidden/>
          </w:rPr>
          <w:tab/>
        </w:r>
        <w:r>
          <w:rPr>
            <w:noProof/>
            <w:webHidden/>
          </w:rPr>
          <w:fldChar w:fldCharType="begin"/>
        </w:r>
        <w:r>
          <w:rPr>
            <w:noProof/>
            <w:webHidden/>
          </w:rPr>
          <w:instrText xml:space="preserve"> PAGEREF _Toc194240157 \h </w:instrText>
        </w:r>
        <w:r>
          <w:rPr>
            <w:noProof/>
            <w:webHidden/>
          </w:rPr>
        </w:r>
        <w:r>
          <w:rPr>
            <w:noProof/>
            <w:webHidden/>
          </w:rPr>
          <w:fldChar w:fldCharType="separate"/>
        </w:r>
        <w:r w:rsidR="003D14B6">
          <w:rPr>
            <w:noProof/>
            <w:webHidden/>
          </w:rPr>
          <w:t>36</w:t>
        </w:r>
        <w:r>
          <w:rPr>
            <w:noProof/>
            <w:webHidden/>
          </w:rPr>
          <w:fldChar w:fldCharType="end"/>
        </w:r>
      </w:hyperlink>
    </w:p>
    <w:p w14:paraId="6F7C82EE" w14:textId="71B0FBC9" w:rsidR="00B947AE" w:rsidRDefault="00B947AE">
      <w:pPr>
        <w:pStyle w:val="TOC2"/>
        <w:tabs>
          <w:tab w:val="left" w:pos="960"/>
          <w:tab w:val="right" w:leader="dot" w:pos="9338"/>
        </w:tabs>
        <w:rPr>
          <w:rFonts w:eastAsiaTheme="minorEastAsia"/>
          <w:noProof/>
          <w:sz w:val="24"/>
          <w:szCs w:val="24"/>
          <w:lang w:eastAsia="fr-FR"/>
        </w:rPr>
      </w:pPr>
      <w:hyperlink w:anchor="_Toc194240158" w:history="1">
        <w:r w:rsidRPr="00052C7B">
          <w:rPr>
            <w:rStyle w:val="Hyperlink"/>
            <w:rFonts w:ascii="Kohinoor Devanagari" w:hAnsi="Kohinoor Devanagari" w:cs="Kohinoor Devanagari"/>
            <w:b/>
            <w:bCs/>
            <w:noProof/>
          </w:rPr>
          <w:t>3.3.</w:t>
        </w:r>
        <w:r>
          <w:rPr>
            <w:rFonts w:eastAsiaTheme="minorEastAsia"/>
            <w:noProof/>
            <w:sz w:val="24"/>
            <w:szCs w:val="24"/>
            <w:lang w:eastAsia="fr-FR"/>
          </w:rPr>
          <w:tab/>
        </w:r>
        <w:r w:rsidRPr="00052C7B">
          <w:rPr>
            <w:rStyle w:val="Hyperlink"/>
            <w:rFonts w:ascii="Kohinoor Devanagari" w:hAnsi="Kohinoor Devanagari" w:cs="Kohinoor Devanagari"/>
            <w:b/>
            <w:bCs/>
            <w:noProof/>
          </w:rPr>
          <w:t>Beneficial Ownership Transparency</w:t>
        </w:r>
        <w:r>
          <w:rPr>
            <w:noProof/>
            <w:webHidden/>
          </w:rPr>
          <w:tab/>
        </w:r>
        <w:r>
          <w:rPr>
            <w:noProof/>
            <w:webHidden/>
          </w:rPr>
          <w:fldChar w:fldCharType="begin"/>
        </w:r>
        <w:r>
          <w:rPr>
            <w:noProof/>
            <w:webHidden/>
          </w:rPr>
          <w:instrText xml:space="preserve"> PAGEREF _Toc194240158 \h </w:instrText>
        </w:r>
        <w:r>
          <w:rPr>
            <w:noProof/>
            <w:webHidden/>
          </w:rPr>
        </w:r>
        <w:r>
          <w:rPr>
            <w:noProof/>
            <w:webHidden/>
          </w:rPr>
          <w:fldChar w:fldCharType="separate"/>
        </w:r>
        <w:r w:rsidR="003D14B6">
          <w:rPr>
            <w:noProof/>
            <w:webHidden/>
          </w:rPr>
          <w:t>37</w:t>
        </w:r>
        <w:r>
          <w:rPr>
            <w:noProof/>
            <w:webHidden/>
          </w:rPr>
          <w:fldChar w:fldCharType="end"/>
        </w:r>
      </w:hyperlink>
    </w:p>
    <w:p w14:paraId="16B7E531" w14:textId="116A374C" w:rsidR="00B947AE" w:rsidRDefault="00B947AE">
      <w:pPr>
        <w:pStyle w:val="TOC2"/>
        <w:tabs>
          <w:tab w:val="left" w:pos="960"/>
          <w:tab w:val="right" w:leader="dot" w:pos="9338"/>
        </w:tabs>
        <w:rPr>
          <w:rFonts w:eastAsiaTheme="minorEastAsia"/>
          <w:noProof/>
          <w:sz w:val="24"/>
          <w:szCs w:val="24"/>
          <w:lang w:eastAsia="fr-FR"/>
        </w:rPr>
      </w:pPr>
      <w:hyperlink w:anchor="_Toc194240159" w:history="1">
        <w:r w:rsidRPr="00052C7B">
          <w:rPr>
            <w:rStyle w:val="Hyperlink"/>
            <w:rFonts w:ascii="Kohinoor Devanagari" w:hAnsi="Kohinoor Devanagari" w:cs="Kohinoor Devanagari"/>
            <w:b/>
            <w:bCs/>
            <w:noProof/>
          </w:rPr>
          <w:t>3.4.</w:t>
        </w:r>
        <w:r>
          <w:rPr>
            <w:rFonts w:eastAsiaTheme="minorEastAsia"/>
            <w:noProof/>
            <w:sz w:val="24"/>
            <w:szCs w:val="24"/>
            <w:lang w:eastAsia="fr-FR"/>
          </w:rPr>
          <w:tab/>
        </w:r>
        <w:r w:rsidRPr="00052C7B">
          <w:rPr>
            <w:rStyle w:val="Hyperlink"/>
            <w:rFonts w:ascii="Kohinoor Devanagari" w:hAnsi="Kohinoor Devanagari" w:cs="Kohinoor Devanagari"/>
            <w:b/>
            <w:bCs/>
            <w:noProof/>
          </w:rPr>
          <w:t>State participation</w:t>
        </w:r>
        <w:r>
          <w:rPr>
            <w:noProof/>
            <w:webHidden/>
          </w:rPr>
          <w:tab/>
        </w:r>
        <w:r>
          <w:rPr>
            <w:noProof/>
            <w:webHidden/>
          </w:rPr>
          <w:fldChar w:fldCharType="begin"/>
        </w:r>
        <w:r>
          <w:rPr>
            <w:noProof/>
            <w:webHidden/>
          </w:rPr>
          <w:instrText xml:space="preserve"> PAGEREF _Toc194240159 \h </w:instrText>
        </w:r>
        <w:r>
          <w:rPr>
            <w:noProof/>
            <w:webHidden/>
          </w:rPr>
        </w:r>
        <w:r>
          <w:rPr>
            <w:noProof/>
            <w:webHidden/>
          </w:rPr>
          <w:fldChar w:fldCharType="separate"/>
        </w:r>
        <w:r w:rsidR="003D14B6">
          <w:rPr>
            <w:noProof/>
            <w:webHidden/>
          </w:rPr>
          <w:t>38</w:t>
        </w:r>
        <w:r>
          <w:rPr>
            <w:noProof/>
            <w:webHidden/>
          </w:rPr>
          <w:fldChar w:fldCharType="end"/>
        </w:r>
      </w:hyperlink>
    </w:p>
    <w:p w14:paraId="27E03EAD" w14:textId="28B02B58" w:rsidR="00B947AE" w:rsidRDefault="00B947AE">
      <w:pPr>
        <w:pStyle w:val="TOC2"/>
        <w:tabs>
          <w:tab w:val="left" w:pos="960"/>
          <w:tab w:val="right" w:leader="dot" w:pos="9338"/>
        </w:tabs>
        <w:rPr>
          <w:rFonts w:eastAsiaTheme="minorEastAsia"/>
          <w:noProof/>
          <w:sz w:val="24"/>
          <w:szCs w:val="24"/>
          <w:lang w:eastAsia="fr-FR"/>
        </w:rPr>
      </w:pPr>
      <w:hyperlink w:anchor="_Toc194240160" w:history="1">
        <w:r w:rsidRPr="00052C7B">
          <w:rPr>
            <w:rStyle w:val="Hyperlink"/>
            <w:rFonts w:ascii="Kohinoor Devanagari" w:hAnsi="Kohinoor Devanagari" w:cs="Kohinoor Devanagari"/>
            <w:b/>
            <w:bCs/>
            <w:noProof/>
          </w:rPr>
          <w:t>3.5.</w:t>
        </w:r>
        <w:r>
          <w:rPr>
            <w:rFonts w:eastAsiaTheme="minorEastAsia"/>
            <w:noProof/>
            <w:sz w:val="24"/>
            <w:szCs w:val="24"/>
            <w:lang w:eastAsia="fr-FR"/>
          </w:rPr>
          <w:tab/>
        </w:r>
        <w:r w:rsidRPr="00052C7B">
          <w:rPr>
            <w:rStyle w:val="Hyperlink"/>
            <w:rFonts w:ascii="Kohinoor Devanagari" w:hAnsi="Kohinoor Devanagari" w:cs="Kohinoor Devanagari"/>
            <w:b/>
            <w:bCs/>
            <w:noProof/>
          </w:rPr>
          <w:t>Production and exports</w:t>
        </w:r>
        <w:r>
          <w:rPr>
            <w:noProof/>
            <w:webHidden/>
          </w:rPr>
          <w:tab/>
        </w:r>
        <w:r>
          <w:rPr>
            <w:noProof/>
            <w:webHidden/>
          </w:rPr>
          <w:fldChar w:fldCharType="begin"/>
        </w:r>
        <w:r>
          <w:rPr>
            <w:noProof/>
            <w:webHidden/>
          </w:rPr>
          <w:instrText xml:space="preserve"> PAGEREF _Toc194240160 \h </w:instrText>
        </w:r>
        <w:r>
          <w:rPr>
            <w:noProof/>
            <w:webHidden/>
          </w:rPr>
        </w:r>
        <w:r>
          <w:rPr>
            <w:noProof/>
            <w:webHidden/>
          </w:rPr>
          <w:fldChar w:fldCharType="separate"/>
        </w:r>
        <w:r w:rsidR="003D14B6">
          <w:rPr>
            <w:noProof/>
            <w:webHidden/>
          </w:rPr>
          <w:t>39</w:t>
        </w:r>
        <w:r>
          <w:rPr>
            <w:noProof/>
            <w:webHidden/>
          </w:rPr>
          <w:fldChar w:fldCharType="end"/>
        </w:r>
      </w:hyperlink>
    </w:p>
    <w:p w14:paraId="60D13D53" w14:textId="64F1626F" w:rsidR="00B947AE" w:rsidRDefault="00B947AE">
      <w:pPr>
        <w:pStyle w:val="TOC2"/>
        <w:tabs>
          <w:tab w:val="left" w:pos="960"/>
          <w:tab w:val="right" w:leader="dot" w:pos="9338"/>
        </w:tabs>
        <w:rPr>
          <w:rFonts w:eastAsiaTheme="minorEastAsia"/>
          <w:noProof/>
          <w:sz w:val="24"/>
          <w:szCs w:val="24"/>
          <w:lang w:eastAsia="fr-FR"/>
        </w:rPr>
      </w:pPr>
      <w:hyperlink w:anchor="_Toc194240161" w:history="1">
        <w:r w:rsidRPr="00052C7B">
          <w:rPr>
            <w:rStyle w:val="Hyperlink"/>
            <w:rFonts w:ascii="Kohinoor Devanagari" w:hAnsi="Kohinoor Devanagari" w:cs="Kohinoor Devanagari"/>
            <w:b/>
            <w:bCs/>
            <w:noProof/>
          </w:rPr>
          <w:t>3.6.</w:t>
        </w:r>
        <w:r>
          <w:rPr>
            <w:rFonts w:eastAsiaTheme="minorEastAsia"/>
            <w:noProof/>
            <w:sz w:val="24"/>
            <w:szCs w:val="24"/>
            <w:lang w:eastAsia="fr-FR"/>
          </w:rPr>
          <w:tab/>
        </w:r>
        <w:r w:rsidRPr="00052C7B">
          <w:rPr>
            <w:rStyle w:val="Hyperlink"/>
            <w:rFonts w:ascii="Kohinoor Devanagari" w:hAnsi="Kohinoor Devanagari" w:cs="Kohinoor Devanagari"/>
            <w:b/>
            <w:bCs/>
            <w:noProof/>
          </w:rPr>
          <w:t>Revenue collection</w:t>
        </w:r>
        <w:r>
          <w:rPr>
            <w:noProof/>
            <w:webHidden/>
          </w:rPr>
          <w:tab/>
        </w:r>
        <w:r>
          <w:rPr>
            <w:noProof/>
            <w:webHidden/>
          </w:rPr>
          <w:fldChar w:fldCharType="begin"/>
        </w:r>
        <w:r>
          <w:rPr>
            <w:noProof/>
            <w:webHidden/>
          </w:rPr>
          <w:instrText xml:space="preserve"> PAGEREF _Toc194240161 \h </w:instrText>
        </w:r>
        <w:r>
          <w:rPr>
            <w:noProof/>
            <w:webHidden/>
          </w:rPr>
        </w:r>
        <w:r>
          <w:rPr>
            <w:noProof/>
            <w:webHidden/>
          </w:rPr>
          <w:fldChar w:fldCharType="separate"/>
        </w:r>
        <w:r w:rsidR="003D14B6">
          <w:rPr>
            <w:noProof/>
            <w:webHidden/>
          </w:rPr>
          <w:t>40</w:t>
        </w:r>
        <w:r>
          <w:rPr>
            <w:noProof/>
            <w:webHidden/>
          </w:rPr>
          <w:fldChar w:fldCharType="end"/>
        </w:r>
      </w:hyperlink>
    </w:p>
    <w:p w14:paraId="562A881F" w14:textId="6D1C17E1" w:rsidR="00B947AE" w:rsidRDefault="00B947AE">
      <w:pPr>
        <w:pStyle w:val="TOC2"/>
        <w:tabs>
          <w:tab w:val="left" w:pos="960"/>
          <w:tab w:val="right" w:leader="dot" w:pos="9338"/>
        </w:tabs>
        <w:rPr>
          <w:rFonts w:eastAsiaTheme="minorEastAsia"/>
          <w:noProof/>
          <w:sz w:val="24"/>
          <w:szCs w:val="24"/>
          <w:lang w:eastAsia="fr-FR"/>
        </w:rPr>
      </w:pPr>
      <w:hyperlink w:anchor="_Toc194240162" w:history="1">
        <w:r w:rsidRPr="00052C7B">
          <w:rPr>
            <w:rStyle w:val="Hyperlink"/>
            <w:rFonts w:ascii="Kohinoor Devanagari" w:hAnsi="Kohinoor Devanagari" w:cs="Kohinoor Devanagari"/>
            <w:b/>
            <w:bCs/>
            <w:noProof/>
          </w:rPr>
          <w:t>3.7.</w:t>
        </w:r>
        <w:r>
          <w:rPr>
            <w:rFonts w:eastAsiaTheme="minorEastAsia"/>
            <w:noProof/>
            <w:sz w:val="24"/>
            <w:szCs w:val="24"/>
            <w:lang w:eastAsia="fr-FR"/>
          </w:rPr>
          <w:tab/>
        </w:r>
        <w:r w:rsidRPr="00052C7B">
          <w:rPr>
            <w:rStyle w:val="Hyperlink"/>
            <w:rFonts w:ascii="Kohinoor Devanagari" w:hAnsi="Kohinoor Devanagari" w:cs="Kohinoor Devanagari"/>
            <w:b/>
            <w:bCs/>
            <w:noProof/>
          </w:rPr>
          <w:t>Revenue management</w:t>
        </w:r>
        <w:r>
          <w:rPr>
            <w:noProof/>
            <w:webHidden/>
          </w:rPr>
          <w:tab/>
        </w:r>
        <w:r>
          <w:rPr>
            <w:noProof/>
            <w:webHidden/>
          </w:rPr>
          <w:fldChar w:fldCharType="begin"/>
        </w:r>
        <w:r>
          <w:rPr>
            <w:noProof/>
            <w:webHidden/>
          </w:rPr>
          <w:instrText xml:space="preserve"> PAGEREF _Toc194240162 \h </w:instrText>
        </w:r>
        <w:r>
          <w:rPr>
            <w:noProof/>
            <w:webHidden/>
          </w:rPr>
        </w:r>
        <w:r>
          <w:rPr>
            <w:noProof/>
            <w:webHidden/>
          </w:rPr>
          <w:fldChar w:fldCharType="separate"/>
        </w:r>
        <w:r w:rsidR="003D14B6">
          <w:rPr>
            <w:noProof/>
            <w:webHidden/>
          </w:rPr>
          <w:t>41</w:t>
        </w:r>
        <w:r>
          <w:rPr>
            <w:noProof/>
            <w:webHidden/>
          </w:rPr>
          <w:fldChar w:fldCharType="end"/>
        </w:r>
      </w:hyperlink>
    </w:p>
    <w:p w14:paraId="0F210179" w14:textId="0BC1EC12" w:rsidR="00B947AE" w:rsidRPr="007E3E3F" w:rsidRDefault="00B947AE" w:rsidP="007E3E3F">
      <w:pPr>
        <w:pStyle w:val="TOC2"/>
        <w:tabs>
          <w:tab w:val="left" w:pos="960"/>
          <w:tab w:val="right" w:leader="dot" w:pos="9338"/>
        </w:tabs>
        <w:rPr>
          <w:rFonts w:eastAsiaTheme="minorEastAsia"/>
          <w:noProof/>
          <w:sz w:val="24"/>
          <w:szCs w:val="24"/>
          <w:lang w:eastAsia="fr-FR"/>
        </w:rPr>
      </w:pPr>
      <w:hyperlink w:anchor="_Toc194240163" w:history="1">
        <w:r w:rsidRPr="00052C7B">
          <w:rPr>
            <w:rStyle w:val="Hyperlink"/>
            <w:rFonts w:ascii="Kohinoor Devanagari" w:hAnsi="Kohinoor Devanagari" w:cs="Kohinoor Devanagari"/>
            <w:b/>
            <w:bCs/>
            <w:noProof/>
          </w:rPr>
          <w:t>3.8.</w:t>
        </w:r>
        <w:r>
          <w:rPr>
            <w:rFonts w:eastAsiaTheme="minorEastAsia"/>
            <w:noProof/>
            <w:sz w:val="24"/>
            <w:szCs w:val="24"/>
            <w:lang w:eastAsia="fr-FR"/>
          </w:rPr>
          <w:tab/>
        </w:r>
        <w:r w:rsidRPr="00052C7B">
          <w:rPr>
            <w:rStyle w:val="Hyperlink"/>
            <w:rFonts w:ascii="Kohinoor Devanagari" w:hAnsi="Kohinoor Devanagari" w:cs="Kohinoor Devanagari"/>
            <w:b/>
            <w:bCs/>
            <w:noProof/>
          </w:rPr>
          <w:t>Subnational contribution</w:t>
        </w:r>
        <w:r>
          <w:rPr>
            <w:noProof/>
            <w:webHidden/>
          </w:rPr>
          <w:tab/>
        </w:r>
        <w:r>
          <w:rPr>
            <w:noProof/>
            <w:webHidden/>
          </w:rPr>
          <w:fldChar w:fldCharType="begin"/>
        </w:r>
        <w:r>
          <w:rPr>
            <w:noProof/>
            <w:webHidden/>
          </w:rPr>
          <w:instrText xml:space="preserve"> PAGEREF _Toc194240163 \h </w:instrText>
        </w:r>
        <w:r>
          <w:rPr>
            <w:noProof/>
            <w:webHidden/>
          </w:rPr>
        </w:r>
        <w:r>
          <w:rPr>
            <w:noProof/>
            <w:webHidden/>
          </w:rPr>
          <w:fldChar w:fldCharType="separate"/>
        </w:r>
        <w:r w:rsidR="003D14B6">
          <w:rPr>
            <w:noProof/>
            <w:webHidden/>
          </w:rPr>
          <w:t>42</w:t>
        </w:r>
        <w:r>
          <w:rPr>
            <w:noProof/>
            <w:webHidden/>
          </w:rPr>
          <w:fldChar w:fldCharType="end"/>
        </w:r>
      </w:hyperlink>
    </w:p>
    <w:p w14:paraId="004243BF" w14:textId="252ACBB2" w:rsidR="00B947AE" w:rsidRDefault="002A6372">
      <w:pPr>
        <w:pStyle w:val="TOC1"/>
        <w:rPr>
          <w:rFonts w:asciiTheme="minorHAnsi" w:eastAsiaTheme="minorEastAsia" w:hAnsiTheme="minorHAnsi" w:cstheme="minorBidi"/>
          <w:b w:val="0"/>
          <w:bCs w:val="0"/>
          <w:caps w:val="0"/>
          <w:kern w:val="2"/>
          <w:sz w:val="24"/>
          <w:szCs w:val="24"/>
          <w:lang w:eastAsia="fr-FR"/>
        </w:rPr>
      </w:pPr>
      <w:hyperlink w:anchor="_Toc194240165" w:history="1">
        <w:r>
          <w:rPr>
            <w:rStyle w:val="Hyperlink"/>
            <w:rFonts w:ascii="Kohinoor Devanagari" w:hAnsi="Kohinoor Devanagari" w:cs="Kohinoor Devanagari"/>
            <w14:ligatures w14:val="none"/>
          </w:rPr>
          <w:t>4</w:t>
        </w:r>
        <w:r w:rsidR="00B947AE" w:rsidRPr="00052C7B">
          <w:rPr>
            <w:rStyle w:val="Hyperlink"/>
            <w:rFonts w:ascii="Kohinoor Devanagari" w:hAnsi="Kohinoor Devanagari" w:cs="Kohinoor Devanagari"/>
            <w14:ligatures w14:val="none"/>
          </w:rPr>
          <w:t>. Constraints and Policy recommendations for systematic disclosure</w:t>
        </w:r>
        <w:r w:rsidR="00B947AE">
          <w:rPr>
            <w:webHidden/>
          </w:rPr>
          <w:tab/>
        </w:r>
        <w:r w:rsidR="00B947AE">
          <w:rPr>
            <w:webHidden/>
          </w:rPr>
          <w:fldChar w:fldCharType="begin"/>
        </w:r>
        <w:r w:rsidR="00B947AE">
          <w:rPr>
            <w:webHidden/>
          </w:rPr>
          <w:instrText xml:space="preserve"> PAGEREF _Toc194240165 \h </w:instrText>
        </w:r>
        <w:r w:rsidR="00B947AE">
          <w:rPr>
            <w:webHidden/>
          </w:rPr>
        </w:r>
        <w:r w:rsidR="00B947AE">
          <w:rPr>
            <w:webHidden/>
          </w:rPr>
          <w:fldChar w:fldCharType="separate"/>
        </w:r>
        <w:r w:rsidR="003D14B6">
          <w:rPr>
            <w:webHidden/>
          </w:rPr>
          <w:t>4</w:t>
        </w:r>
        <w:r w:rsidR="00620E24">
          <w:rPr>
            <w:webHidden/>
          </w:rPr>
          <w:t>4</w:t>
        </w:r>
        <w:r w:rsidR="00B947AE">
          <w:rPr>
            <w:webHidden/>
          </w:rPr>
          <w:fldChar w:fldCharType="end"/>
        </w:r>
      </w:hyperlink>
    </w:p>
    <w:p w14:paraId="092DA020" w14:textId="0F40356A" w:rsidR="00B947AE" w:rsidRDefault="002A6372">
      <w:pPr>
        <w:pStyle w:val="TOC2"/>
        <w:tabs>
          <w:tab w:val="left" w:pos="960"/>
          <w:tab w:val="right" w:leader="dot" w:pos="9338"/>
        </w:tabs>
        <w:rPr>
          <w:rFonts w:eastAsiaTheme="minorEastAsia"/>
          <w:noProof/>
          <w:sz w:val="24"/>
          <w:szCs w:val="24"/>
          <w:lang w:eastAsia="fr-FR"/>
        </w:rPr>
      </w:pPr>
      <w:hyperlink w:anchor="_Toc194240166" w:history="1">
        <w:r>
          <w:rPr>
            <w:rStyle w:val="Hyperlink"/>
            <w:rFonts w:ascii="Kohinoor Devanagari" w:hAnsi="Kohinoor Devanagari" w:cs="Kohinoor Devanagari"/>
            <w:b/>
            <w:bCs/>
            <w:noProof/>
          </w:rPr>
          <w:t>4</w:t>
        </w:r>
        <w:r w:rsidR="00B947AE" w:rsidRPr="00052C7B">
          <w:rPr>
            <w:rStyle w:val="Hyperlink"/>
            <w:rFonts w:ascii="Kohinoor Devanagari" w:hAnsi="Kohinoor Devanagari" w:cs="Kohinoor Devanagari"/>
            <w:b/>
            <w:bCs/>
            <w:noProof/>
          </w:rPr>
          <w:t>.1.</w:t>
        </w:r>
        <w:r w:rsidR="00B947AE">
          <w:rPr>
            <w:rFonts w:eastAsiaTheme="minorEastAsia"/>
            <w:noProof/>
            <w:sz w:val="24"/>
            <w:szCs w:val="24"/>
            <w:lang w:eastAsia="fr-FR"/>
          </w:rPr>
          <w:tab/>
        </w:r>
        <w:r w:rsidR="00B947AE" w:rsidRPr="00052C7B">
          <w:rPr>
            <w:rStyle w:val="Hyperlink"/>
            <w:rFonts w:ascii="Kohinoor Devanagari" w:hAnsi="Kohinoor Devanagari" w:cs="Kohinoor Devanagari"/>
            <w:b/>
            <w:bCs/>
            <w:noProof/>
          </w:rPr>
          <w:t>Constraints and challenges</w:t>
        </w:r>
        <w:r w:rsidR="00B947AE">
          <w:rPr>
            <w:noProof/>
            <w:webHidden/>
          </w:rPr>
          <w:tab/>
        </w:r>
        <w:r w:rsidR="00B947AE">
          <w:rPr>
            <w:noProof/>
            <w:webHidden/>
          </w:rPr>
          <w:fldChar w:fldCharType="begin"/>
        </w:r>
        <w:r w:rsidR="00B947AE">
          <w:rPr>
            <w:noProof/>
            <w:webHidden/>
          </w:rPr>
          <w:instrText xml:space="preserve"> PAGEREF _Toc194240166 \h </w:instrText>
        </w:r>
        <w:r w:rsidR="00B947AE">
          <w:rPr>
            <w:noProof/>
            <w:webHidden/>
          </w:rPr>
        </w:r>
        <w:r w:rsidR="00B947AE">
          <w:rPr>
            <w:noProof/>
            <w:webHidden/>
          </w:rPr>
          <w:fldChar w:fldCharType="separate"/>
        </w:r>
        <w:r w:rsidR="003D14B6">
          <w:rPr>
            <w:noProof/>
            <w:webHidden/>
          </w:rPr>
          <w:t>4</w:t>
        </w:r>
        <w:r w:rsidR="00620E24">
          <w:rPr>
            <w:noProof/>
            <w:webHidden/>
          </w:rPr>
          <w:t>4</w:t>
        </w:r>
        <w:r w:rsidR="00B947AE">
          <w:rPr>
            <w:noProof/>
            <w:webHidden/>
          </w:rPr>
          <w:fldChar w:fldCharType="end"/>
        </w:r>
      </w:hyperlink>
    </w:p>
    <w:p w14:paraId="3664A5C6" w14:textId="41CA2F41" w:rsidR="00B947AE" w:rsidRDefault="002A6372">
      <w:pPr>
        <w:pStyle w:val="TOC2"/>
        <w:tabs>
          <w:tab w:val="left" w:pos="960"/>
          <w:tab w:val="right" w:leader="dot" w:pos="9338"/>
        </w:tabs>
        <w:rPr>
          <w:rFonts w:eastAsiaTheme="minorEastAsia"/>
          <w:noProof/>
          <w:sz w:val="24"/>
          <w:szCs w:val="24"/>
          <w:lang w:eastAsia="fr-FR"/>
        </w:rPr>
      </w:pPr>
      <w:hyperlink w:anchor="_Toc194240167" w:history="1">
        <w:r>
          <w:rPr>
            <w:rStyle w:val="Hyperlink"/>
            <w:rFonts w:ascii="Kohinoor Devanagari" w:hAnsi="Kohinoor Devanagari" w:cs="Kohinoor Devanagari"/>
            <w:b/>
            <w:bCs/>
            <w:noProof/>
          </w:rPr>
          <w:t>4</w:t>
        </w:r>
        <w:r w:rsidR="00B947AE" w:rsidRPr="00052C7B">
          <w:rPr>
            <w:rStyle w:val="Hyperlink"/>
            <w:rFonts w:ascii="Kohinoor Devanagari" w:hAnsi="Kohinoor Devanagari" w:cs="Kohinoor Devanagari"/>
            <w:b/>
            <w:bCs/>
            <w:noProof/>
          </w:rPr>
          <w:t>.2.</w:t>
        </w:r>
        <w:r w:rsidR="00B947AE">
          <w:rPr>
            <w:rFonts w:eastAsiaTheme="minorEastAsia"/>
            <w:noProof/>
            <w:sz w:val="24"/>
            <w:szCs w:val="24"/>
            <w:lang w:eastAsia="fr-FR"/>
          </w:rPr>
          <w:tab/>
        </w:r>
        <w:r w:rsidR="00B947AE" w:rsidRPr="00052C7B">
          <w:rPr>
            <w:rStyle w:val="Hyperlink"/>
            <w:rFonts w:ascii="Kohinoor Devanagari" w:hAnsi="Kohinoor Devanagari" w:cs="Kohinoor Devanagari"/>
            <w:b/>
            <w:bCs/>
            <w:noProof/>
          </w:rPr>
          <w:t>Policy Recommendations for Overcoming Challenges</w:t>
        </w:r>
        <w:r w:rsidR="00B947AE">
          <w:rPr>
            <w:noProof/>
            <w:webHidden/>
          </w:rPr>
          <w:tab/>
        </w:r>
        <w:r w:rsidR="00B947AE">
          <w:rPr>
            <w:noProof/>
            <w:webHidden/>
          </w:rPr>
          <w:fldChar w:fldCharType="begin"/>
        </w:r>
        <w:r w:rsidR="00B947AE">
          <w:rPr>
            <w:noProof/>
            <w:webHidden/>
          </w:rPr>
          <w:instrText xml:space="preserve"> PAGEREF _Toc194240167 \h </w:instrText>
        </w:r>
        <w:r w:rsidR="00B947AE">
          <w:rPr>
            <w:noProof/>
            <w:webHidden/>
          </w:rPr>
        </w:r>
        <w:r w:rsidR="00B947AE">
          <w:rPr>
            <w:noProof/>
            <w:webHidden/>
          </w:rPr>
          <w:fldChar w:fldCharType="separate"/>
        </w:r>
        <w:r w:rsidR="003D14B6">
          <w:rPr>
            <w:noProof/>
            <w:webHidden/>
          </w:rPr>
          <w:t>4</w:t>
        </w:r>
        <w:r w:rsidR="0072472A">
          <w:rPr>
            <w:noProof/>
            <w:webHidden/>
          </w:rPr>
          <w:t>6</w:t>
        </w:r>
        <w:r w:rsidR="00B947AE">
          <w:rPr>
            <w:noProof/>
            <w:webHidden/>
          </w:rPr>
          <w:fldChar w:fldCharType="end"/>
        </w:r>
      </w:hyperlink>
    </w:p>
    <w:p w14:paraId="4E385CFC" w14:textId="30D9E82C" w:rsidR="00B947AE" w:rsidRDefault="002A6372">
      <w:pPr>
        <w:pStyle w:val="TOC1"/>
        <w:rPr>
          <w:rFonts w:asciiTheme="minorHAnsi" w:eastAsiaTheme="minorEastAsia" w:hAnsiTheme="minorHAnsi" w:cstheme="minorBidi"/>
          <w:b w:val="0"/>
          <w:bCs w:val="0"/>
          <w:caps w:val="0"/>
          <w:kern w:val="2"/>
          <w:sz w:val="24"/>
          <w:szCs w:val="24"/>
          <w:lang w:eastAsia="fr-FR"/>
        </w:rPr>
      </w:pPr>
      <w:hyperlink w:anchor="_Toc194240168" w:history="1">
        <w:r>
          <w:rPr>
            <w:rStyle w:val="Hyperlink"/>
            <w:rFonts w:ascii="Kohinoor Devanagari" w:hAnsi="Kohinoor Devanagari" w:cs="Kohinoor Devanagari"/>
            <w14:ligatures w14:val="none"/>
          </w:rPr>
          <w:t>5</w:t>
        </w:r>
        <w:r w:rsidR="00B947AE" w:rsidRPr="00052C7B">
          <w:rPr>
            <w:rStyle w:val="Hyperlink"/>
            <w:rFonts w:ascii="Kohinoor Devanagari" w:hAnsi="Kohinoor Devanagari" w:cs="Kohinoor Devanagari"/>
            <w14:ligatures w14:val="none"/>
          </w:rPr>
          <w:t>. Draft Policy Note</w:t>
        </w:r>
        <w:r w:rsidR="00B947AE">
          <w:rPr>
            <w:webHidden/>
          </w:rPr>
          <w:tab/>
        </w:r>
        <w:r w:rsidR="00B947AE">
          <w:rPr>
            <w:webHidden/>
          </w:rPr>
          <w:fldChar w:fldCharType="begin"/>
        </w:r>
        <w:r w:rsidR="00B947AE">
          <w:rPr>
            <w:webHidden/>
          </w:rPr>
          <w:instrText xml:space="preserve"> PAGEREF _Toc194240168 \h </w:instrText>
        </w:r>
        <w:r w:rsidR="00B947AE">
          <w:rPr>
            <w:webHidden/>
          </w:rPr>
        </w:r>
        <w:r w:rsidR="00B947AE">
          <w:rPr>
            <w:webHidden/>
          </w:rPr>
          <w:fldChar w:fldCharType="separate"/>
        </w:r>
        <w:r w:rsidR="003D14B6">
          <w:rPr>
            <w:webHidden/>
          </w:rPr>
          <w:t>4</w:t>
        </w:r>
        <w:r w:rsidR="00F55319">
          <w:rPr>
            <w:webHidden/>
          </w:rPr>
          <w:t>8</w:t>
        </w:r>
        <w:r w:rsidR="00B947AE">
          <w:rPr>
            <w:webHidden/>
          </w:rPr>
          <w:fldChar w:fldCharType="end"/>
        </w:r>
      </w:hyperlink>
    </w:p>
    <w:p w14:paraId="635405B6" w14:textId="54D8C44A" w:rsidR="00B947AE" w:rsidRDefault="002A6372">
      <w:pPr>
        <w:pStyle w:val="TOC2"/>
        <w:tabs>
          <w:tab w:val="left" w:pos="960"/>
          <w:tab w:val="right" w:leader="dot" w:pos="9338"/>
        </w:tabs>
        <w:rPr>
          <w:rFonts w:eastAsiaTheme="minorEastAsia"/>
          <w:noProof/>
          <w:sz w:val="24"/>
          <w:szCs w:val="24"/>
          <w:lang w:eastAsia="fr-FR"/>
        </w:rPr>
      </w:pPr>
      <w:hyperlink w:anchor="_Toc194240169" w:history="1">
        <w:r>
          <w:rPr>
            <w:rStyle w:val="Hyperlink"/>
            <w:rFonts w:ascii="Kohinoor Devanagari" w:hAnsi="Kohinoor Devanagari" w:cs="Kohinoor Devanagari"/>
            <w:b/>
            <w:bCs/>
            <w:noProof/>
          </w:rPr>
          <w:t>5</w:t>
        </w:r>
        <w:r w:rsidR="00B947AE" w:rsidRPr="00052C7B">
          <w:rPr>
            <w:rStyle w:val="Hyperlink"/>
            <w:rFonts w:ascii="Kohinoor Devanagari" w:hAnsi="Kohinoor Devanagari" w:cs="Kohinoor Devanagari"/>
            <w:b/>
            <w:bCs/>
            <w:noProof/>
          </w:rPr>
          <w:t>.1.</w:t>
        </w:r>
        <w:r w:rsidR="00B947AE">
          <w:rPr>
            <w:rFonts w:eastAsiaTheme="minorEastAsia"/>
            <w:noProof/>
            <w:sz w:val="24"/>
            <w:szCs w:val="24"/>
            <w:lang w:eastAsia="fr-FR"/>
          </w:rPr>
          <w:tab/>
        </w:r>
        <w:r w:rsidR="00B947AE" w:rsidRPr="00052C7B">
          <w:rPr>
            <w:rStyle w:val="Hyperlink"/>
            <w:rFonts w:ascii="Kohinoor Devanagari" w:hAnsi="Kohinoor Devanagari" w:cs="Kohinoor Devanagari"/>
            <w:b/>
            <w:bCs/>
            <w:noProof/>
          </w:rPr>
          <w:t>Introduction</w:t>
        </w:r>
        <w:r w:rsidR="00B947AE">
          <w:rPr>
            <w:noProof/>
            <w:webHidden/>
          </w:rPr>
          <w:tab/>
        </w:r>
        <w:r w:rsidR="00B947AE">
          <w:rPr>
            <w:noProof/>
            <w:webHidden/>
          </w:rPr>
          <w:fldChar w:fldCharType="begin"/>
        </w:r>
        <w:r w:rsidR="00B947AE">
          <w:rPr>
            <w:noProof/>
            <w:webHidden/>
          </w:rPr>
          <w:instrText xml:space="preserve"> PAGEREF _Toc194240169 \h </w:instrText>
        </w:r>
        <w:r w:rsidR="00B947AE">
          <w:rPr>
            <w:noProof/>
            <w:webHidden/>
          </w:rPr>
        </w:r>
        <w:r w:rsidR="00B947AE">
          <w:rPr>
            <w:noProof/>
            <w:webHidden/>
          </w:rPr>
          <w:fldChar w:fldCharType="separate"/>
        </w:r>
        <w:r w:rsidR="003D14B6">
          <w:rPr>
            <w:noProof/>
            <w:webHidden/>
          </w:rPr>
          <w:t>4</w:t>
        </w:r>
        <w:r w:rsidR="005D5F46">
          <w:rPr>
            <w:noProof/>
            <w:webHidden/>
          </w:rPr>
          <w:t>8</w:t>
        </w:r>
        <w:r w:rsidR="00B947AE">
          <w:rPr>
            <w:noProof/>
            <w:webHidden/>
          </w:rPr>
          <w:fldChar w:fldCharType="end"/>
        </w:r>
      </w:hyperlink>
    </w:p>
    <w:p w14:paraId="296C12FA" w14:textId="2FB2C3E6" w:rsidR="00B947AE" w:rsidRDefault="002A6372">
      <w:pPr>
        <w:pStyle w:val="TOC2"/>
        <w:tabs>
          <w:tab w:val="left" w:pos="960"/>
          <w:tab w:val="right" w:leader="dot" w:pos="9338"/>
        </w:tabs>
        <w:rPr>
          <w:rFonts w:eastAsiaTheme="minorEastAsia"/>
          <w:noProof/>
          <w:sz w:val="24"/>
          <w:szCs w:val="24"/>
          <w:lang w:eastAsia="fr-FR"/>
        </w:rPr>
      </w:pPr>
      <w:hyperlink w:anchor="_Toc194240170" w:history="1">
        <w:r>
          <w:rPr>
            <w:rStyle w:val="Hyperlink"/>
            <w:rFonts w:ascii="Kohinoor Devanagari" w:hAnsi="Kohinoor Devanagari" w:cs="Kohinoor Devanagari"/>
            <w:b/>
            <w:bCs/>
            <w:noProof/>
          </w:rPr>
          <w:t>5</w:t>
        </w:r>
        <w:r w:rsidR="00B947AE" w:rsidRPr="00052C7B">
          <w:rPr>
            <w:rStyle w:val="Hyperlink"/>
            <w:rFonts w:ascii="Kohinoor Devanagari" w:hAnsi="Kohinoor Devanagari" w:cs="Kohinoor Devanagari"/>
            <w:b/>
            <w:bCs/>
            <w:noProof/>
          </w:rPr>
          <w:t>.2.</w:t>
        </w:r>
        <w:r w:rsidR="00B947AE">
          <w:rPr>
            <w:rFonts w:eastAsiaTheme="minorEastAsia"/>
            <w:noProof/>
            <w:sz w:val="24"/>
            <w:szCs w:val="24"/>
            <w:lang w:eastAsia="fr-FR"/>
          </w:rPr>
          <w:tab/>
        </w:r>
        <w:r w:rsidR="00B947AE" w:rsidRPr="00052C7B">
          <w:rPr>
            <w:rStyle w:val="Hyperlink"/>
            <w:rFonts w:ascii="Kohinoor Devanagari" w:hAnsi="Kohinoor Devanagari" w:cs="Kohinoor Devanagari"/>
            <w:b/>
            <w:bCs/>
            <w:noProof/>
          </w:rPr>
          <w:t>Purpose and Scope</w:t>
        </w:r>
        <w:r w:rsidR="00B947AE">
          <w:rPr>
            <w:noProof/>
            <w:webHidden/>
          </w:rPr>
          <w:tab/>
        </w:r>
        <w:r w:rsidR="00B947AE">
          <w:rPr>
            <w:noProof/>
            <w:webHidden/>
          </w:rPr>
          <w:fldChar w:fldCharType="begin"/>
        </w:r>
        <w:r w:rsidR="00B947AE">
          <w:rPr>
            <w:noProof/>
            <w:webHidden/>
          </w:rPr>
          <w:instrText xml:space="preserve"> PAGEREF _Toc194240170 \h </w:instrText>
        </w:r>
        <w:r w:rsidR="00B947AE">
          <w:rPr>
            <w:noProof/>
            <w:webHidden/>
          </w:rPr>
        </w:r>
        <w:r w:rsidR="00B947AE">
          <w:rPr>
            <w:noProof/>
            <w:webHidden/>
          </w:rPr>
          <w:fldChar w:fldCharType="separate"/>
        </w:r>
        <w:r w:rsidR="003D14B6">
          <w:rPr>
            <w:noProof/>
            <w:webHidden/>
          </w:rPr>
          <w:t>4</w:t>
        </w:r>
        <w:r w:rsidR="00BB604A">
          <w:rPr>
            <w:noProof/>
            <w:webHidden/>
          </w:rPr>
          <w:t>8</w:t>
        </w:r>
        <w:r w:rsidR="00B947AE">
          <w:rPr>
            <w:noProof/>
            <w:webHidden/>
          </w:rPr>
          <w:fldChar w:fldCharType="end"/>
        </w:r>
      </w:hyperlink>
    </w:p>
    <w:p w14:paraId="3220BDF7" w14:textId="3B2F4E5E" w:rsidR="00B947AE" w:rsidRDefault="004121C8">
      <w:pPr>
        <w:pStyle w:val="TOC2"/>
        <w:tabs>
          <w:tab w:val="left" w:pos="960"/>
          <w:tab w:val="right" w:leader="dot" w:pos="9338"/>
        </w:tabs>
        <w:rPr>
          <w:rFonts w:eastAsiaTheme="minorEastAsia"/>
          <w:noProof/>
          <w:sz w:val="24"/>
          <w:szCs w:val="24"/>
          <w:lang w:eastAsia="fr-FR"/>
        </w:rPr>
      </w:pPr>
      <w:hyperlink w:anchor="_Toc194240171" w:history="1">
        <w:r>
          <w:rPr>
            <w:rStyle w:val="Hyperlink"/>
            <w:rFonts w:ascii="Kohinoor Devanagari" w:hAnsi="Kohinoor Devanagari" w:cs="Kohinoor Devanagari"/>
            <w:b/>
            <w:bCs/>
            <w:noProof/>
          </w:rPr>
          <w:t>5</w:t>
        </w:r>
        <w:r w:rsidR="00B947AE" w:rsidRPr="00052C7B">
          <w:rPr>
            <w:rStyle w:val="Hyperlink"/>
            <w:rFonts w:ascii="Kohinoor Devanagari" w:hAnsi="Kohinoor Devanagari" w:cs="Kohinoor Devanagari"/>
            <w:b/>
            <w:bCs/>
            <w:noProof/>
          </w:rPr>
          <w:t>.3.</w:t>
        </w:r>
        <w:r w:rsidR="00B947AE">
          <w:rPr>
            <w:rFonts w:eastAsiaTheme="minorEastAsia"/>
            <w:noProof/>
            <w:sz w:val="24"/>
            <w:szCs w:val="24"/>
            <w:lang w:eastAsia="fr-FR"/>
          </w:rPr>
          <w:tab/>
        </w:r>
        <w:r w:rsidR="00B947AE" w:rsidRPr="00052C7B">
          <w:rPr>
            <w:rStyle w:val="Hyperlink"/>
            <w:rFonts w:ascii="Kohinoor Devanagari" w:hAnsi="Kohinoor Devanagari" w:cs="Kohinoor Devanagari"/>
            <w:b/>
            <w:bCs/>
            <w:noProof/>
          </w:rPr>
          <w:t>Key Definitions</w:t>
        </w:r>
        <w:r w:rsidR="00B947AE">
          <w:rPr>
            <w:noProof/>
            <w:webHidden/>
          </w:rPr>
          <w:tab/>
        </w:r>
        <w:r w:rsidR="007A0D43">
          <w:rPr>
            <w:noProof/>
            <w:webHidden/>
          </w:rPr>
          <w:t>4</w:t>
        </w:r>
        <w:r w:rsidR="00294903">
          <w:rPr>
            <w:noProof/>
            <w:webHidden/>
          </w:rPr>
          <w:t>9</w:t>
        </w:r>
      </w:hyperlink>
    </w:p>
    <w:p w14:paraId="2D24689A" w14:textId="520A0D3B" w:rsidR="00B947AE" w:rsidRDefault="004121C8">
      <w:pPr>
        <w:pStyle w:val="TOC2"/>
        <w:tabs>
          <w:tab w:val="left" w:pos="960"/>
          <w:tab w:val="right" w:leader="dot" w:pos="9338"/>
        </w:tabs>
        <w:rPr>
          <w:rFonts w:eastAsiaTheme="minorEastAsia"/>
          <w:noProof/>
          <w:sz w:val="24"/>
          <w:szCs w:val="24"/>
          <w:lang w:eastAsia="fr-FR"/>
        </w:rPr>
      </w:pPr>
      <w:hyperlink w:anchor="_Toc194240172" w:history="1">
        <w:r>
          <w:rPr>
            <w:rStyle w:val="Hyperlink"/>
            <w:rFonts w:ascii="Kohinoor Devanagari" w:hAnsi="Kohinoor Devanagari" w:cs="Kohinoor Devanagari"/>
            <w:b/>
            <w:bCs/>
            <w:noProof/>
          </w:rPr>
          <w:t>5</w:t>
        </w:r>
        <w:r w:rsidR="00B947AE" w:rsidRPr="00052C7B">
          <w:rPr>
            <w:rStyle w:val="Hyperlink"/>
            <w:rFonts w:ascii="Kohinoor Devanagari" w:hAnsi="Kohinoor Devanagari" w:cs="Kohinoor Devanagari"/>
            <w:b/>
            <w:bCs/>
            <w:noProof/>
          </w:rPr>
          <w:t>.4.</w:t>
        </w:r>
        <w:r w:rsidR="00B947AE">
          <w:rPr>
            <w:rFonts w:eastAsiaTheme="minorEastAsia"/>
            <w:noProof/>
            <w:sz w:val="24"/>
            <w:szCs w:val="24"/>
            <w:lang w:eastAsia="fr-FR"/>
          </w:rPr>
          <w:tab/>
        </w:r>
        <w:r w:rsidR="00B947AE" w:rsidRPr="00052C7B">
          <w:rPr>
            <w:rStyle w:val="Hyperlink"/>
            <w:rFonts w:ascii="Kohinoor Devanagari" w:hAnsi="Kohinoor Devanagari" w:cs="Kohinoor Devanagari"/>
            <w:b/>
            <w:bCs/>
            <w:noProof/>
          </w:rPr>
          <w:t>Legal Basis and Integration</w:t>
        </w:r>
        <w:r w:rsidR="00B947AE">
          <w:rPr>
            <w:noProof/>
            <w:webHidden/>
          </w:rPr>
          <w:tab/>
        </w:r>
        <w:r w:rsidR="00B947AE">
          <w:rPr>
            <w:noProof/>
            <w:webHidden/>
          </w:rPr>
          <w:fldChar w:fldCharType="begin"/>
        </w:r>
        <w:r w:rsidR="00B947AE">
          <w:rPr>
            <w:noProof/>
            <w:webHidden/>
          </w:rPr>
          <w:instrText xml:space="preserve"> PAGEREF _Toc194240172 \h </w:instrText>
        </w:r>
        <w:r w:rsidR="00B947AE">
          <w:rPr>
            <w:noProof/>
            <w:webHidden/>
          </w:rPr>
        </w:r>
        <w:r w:rsidR="00B947AE">
          <w:rPr>
            <w:noProof/>
            <w:webHidden/>
          </w:rPr>
          <w:fldChar w:fldCharType="separate"/>
        </w:r>
        <w:r w:rsidR="003D14B6">
          <w:rPr>
            <w:noProof/>
            <w:webHidden/>
          </w:rPr>
          <w:t>5</w:t>
        </w:r>
        <w:r w:rsidR="00623BDA">
          <w:rPr>
            <w:noProof/>
            <w:webHidden/>
          </w:rPr>
          <w:t>0</w:t>
        </w:r>
        <w:r w:rsidR="00B947AE">
          <w:rPr>
            <w:noProof/>
            <w:webHidden/>
          </w:rPr>
          <w:fldChar w:fldCharType="end"/>
        </w:r>
      </w:hyperlink>
    </w:p>
    <w:p w14:paraId="68CD9470" w14:textId="76168023" w:rsidR="00B947AE" w:rsidRDefault="004121C8">
      <w:pPr>
        <w:pStyle w:val="TOC2"/>
        <w:tabs>
          <w:tab w:val="left" w:pos="960"/>
          <w:tab w:val="right" w:leader="dot" w:pos="9338"/>
        </w:tabs>
        <w:rPr>
          <w:rFonts w:eastAsiaTheme="minorEastAsia"/>
          <w:noProof/>
          <w:sz w:val="24"/>
          <w:szCs w:val="24"/>
          <w:lang w:eastAsia="fr-FR"/>
        </w:rPr>
      </w:pPr>
      <w:hyperlink w:anchor="_Toc194240173" w:history="1">
        <w:r>
          <w:rPr>
            <w:rStyle w:val="Hyperlink"/>
            <w:rFonts w:ascii="Kohinoor Devanagari" w:hAnsi="Kohinoor Devanagari" w:cs="Kohinoor Devanagari"/>
            <w:b/>
            <w:bCs/>
            <w:noProof/>
          </w:rPr>
          <w:t>5</w:t>
        </w:r>
        <w:r w:rsidR="00B947AE" w:rsidRPr="00052C7B">
          <w:rPr>
            <w:rStyle w:val="Hyperlink"/>
            <w:rFonts w:ascii="Kohinoor Devanagari" w:hAnsi="Kohinoor Devanagari" w:cs="Kohinoor Devanagari"/>
            <w:b/>
            <w:bCs/>
            <w:noProof/>
          </w:rPr>
          <w:t>.5.</w:t>
        </w:r>
        <w:r w:rsidR="00B947AE">
          <w:rPr>
            <w:rFonts w:eastAsiaTheme="minorEastAsia"/>
            <w:noProof/>
            <w:sz w:val="24"/>
            <w:szCs w:val="24"/>
            <w:lang w:eastAsia="fr-FR"/>
          </w:rPr>
          <w:tab/>
        </w:r>
        <w:r w:rsidR="00B947AE" w:rsidRPr="00052C7B">
          <w:rPr>
            <w:rStyle w:val="Hyperlink"/>
            <w:rFonts w:ascii="Kohinoor Devanagari" w:hAnsi="Kohinoor Devanagari" w:cs="Kohinoor Devanagari"/>
            <w:b/>
            <w:bCs/>
            <w:noProof/>
          </w:rPr>
          <w:t>Policy Provisions</w:t>
        </w:r>
        <w:r w:rsidR="00B947AE">
          <w:rPr>
            <w:noProof/>
            <w:webHidden/>
          </w:rPr>
          <w:tab/>
        </w:r>
        <w:r w:rsidR="00B947AE">
          <w:rPr>
            <w:noProof/>
            <w:webHidden/>
          </w:rPr>
          <w:fldChar w:fldCharType="begin"/>
        </w:r>
        <w:r w:rsidR="00B947AE">
          <w:rPr>
            <w:noProof/>
            <w:webHidden/>
          </w:rPr>
          <w:instrText xml:space="preserve"> PAGEREF _Toc194240173 \h </w:instrText>
        </w:r>
        <w:r w:rsidR="00B947AE">
          <w:rPr>
            <w:noProof/>
            <w:webHidden/>
          </w:rPr>
        </w:r>
        <w:r w:rsidR="00B947AE">
          <w:rPr>
            <w:noProof/>
            <w:webHidden/>
          </w:rPr>
          <w:fldChar w:fldCharType="separate"/>
        </w:r>
        <w:r w:rsidR="003D14B6">
          <w:rPr>
            <w:noProof/>
            <w:webHidden/>
          </w:rPr>
          <w:t>5</w:t>
        </w:r>
        <w:r w:rsidR="00351C81">
          <w:rPr>
            <w:noProof/>
            <w:webHidden/>
          </w:rPr>
          <w:t>0</w:t>
        </w:r>
        <w:r w:rsidR="00B947AE">
          <w:rPr>
            <w:noProof/>
            <w:webHidden/>
          </w:rPr>
          <w:fldChar w:fldCharType="end"/>
        </w:r>
      </w:hyperlink>
    </w:p>
    <w:p w14:paraId="31C48B3E" w14:textId="605E607C" w:rsidR="00B947AE" w:rsidRDefault="004121C8">
      <w:pPr>
        <w:pStyle w:val="TOC2"/>
        <w:tabs>
          <w:tab w:val="left" w:pos="960"/>
          <w:tab w:val="right" w:leader="dot" w:pos="9338"/>
        </w:tabs>
        <w:rPr>
          <w:rFonts w:eastAsiaTheme="minorEastAsia"/>
          <w:noProof/>
          <w:sz w:val="24"/>
          <w:szCs w:val="24"/>
          <w:lang w:eastAsia="fr-FR"/>
        </w:rPr>
      </w:pPr>
      <w:hyperlink w:anchor="_Toc194240174" w:history="1">
        <w:r>
          <w:rPr>
            <w:rStyle w:val="Hyperlink"/>
            <w:rFonts w:ascii="Kohinoor Devanagari" w:hAnsi="Kohinoor Devanagari" w:cs="Kohinoor Devanagari"/>
            <w:b/>
            <w:bCs/>
            <w:noProof/>
          </w:rPr>
          <w:t>5</w:t>
        </w:r>
        <w:r w:rsidR="00B947AE" w:rsidRPr="00052C7B">
          <w:rPr>
            <w:rStyle w:val="Hyperlink"/>
            <w:rFonts w:ascii="Kohinoor Devanagari" w:hAnsi="Kohinoor Devanagari" w:cs="Kohinoor Devanagari"/>
            <w:b/>
            <w:bCs/>
            <w:noProof/>
          </w:rPr>
          <w:t>.6.</w:t>
        </w:r>
        <w:r w:rsidR="00B947AE">
          <w:rPr>
            <w:rFonts w:eastAsiaTheme="minorEastAsia"/>
            <w:noProof/>
            <w:sz w:val="24"/>
            <w:szCs w:val="24"/>
            <w:lang w:eastAsia="fr-FR"/>
          </w:rPr>
          <w:tab/>
        </w:r>
        <w:r w:rsidR="00B947AE" w:rsidRPr="00052C7B">
          <w:rPr>
            <w:rStyle w:val="Hyperlink"/>
            <w:rFonts w:ascii="Kohinoor Devanagari" w:hAnsi="Kohinoor Devanagari" w:cs="Kohinoor Devanagari"/>
            <w:b/>
            <w:bCs/>
            <w:noProof/>
          </w:rPr>
          <w:t>Governance and Enforcement</w:t>
        </w:r>
        <w:r w:rsidR="00B947AE">
          <w:rPr>
            <w:noProof/>
            <w:webHidden/>
          </w:rPr>
          <w:tab/>
        </w:r>
        <w:r w:rsidR="00B947AE">
          <w:rPr>
            <w:noProof/>
            <w:webHidden/>
          </w:rPr>
          <w:fldChar w:fldCharType="begin"/>
        </w:r>
        <w:r w:rsidR="00B947AE">
          <w:rPr>
            <w:noProof/>
            <w:webHidden/>
          </w:rPr>
          <w:instrText xml:space="preserve"> PAGEREF _Toc194240174 \h </w:instrText>
        </w:r>
        <w:r w:rsidR="00B947AE">
          <w:rPr>
            <w:noProof/>
            <w:webHidden/>
          </w:rPr>
        </w:r>
        <w:r w:rsidR="00B947AE">
          <w:rPr>
            <w:noProof/>
            <w:webHidden/>
          </w:rPr>
          <w:fldChar w:fldCharType="separate"/>
        </w:r>
        <w:r w:rsidR="003D14B6">
          <w:rPr>
            <w:noProof/>
            <w:webHidden/>
          </w:rPr>
          <w:t>5</w:t>
        </w:r>
        <w:r w:rsidR="00470266">
          <w:rPr>
            <w:noProof/>
            <w:webHidden/>
          </w:rPr>
          <w:t>2</w:t>
        </w:r>
        <w:r w:rsidR="00B947AE">
          <w:rPr>
            <w:noProof/>
            <w:webHidden/>
          </w:rPr>
          <w:fldChar w:fldCharType="end"/>
        </w:r>
      </w:hyperlink>
    </w:p>
    <w:p w14:paraId="5C1E9B58" w14:textId="70837CF7" w:rsidR="00B947AE" w:rsidRDefault="004121C8">
      <w:pPr>
        <w:pStyle w:val="TOC2"/>
        <w:tabs>
          <w:tab w:val="left" w:pos="960"/>
          <w:tab w:val="right" w:leader="dot" w:pos="9338"/>
        </w:tabs>
        <w:rPr>
          <w:rFonts w:eastAsiaTheme="minorEastAsia"/>
          <w:noProof/>
          <w:sz w:val="24"/>
          <w:szCs w:val="24"/>
          <w:lang w:eastAsia="fr-FR"/>
        </w:rPr>
      </w:pPr>
      <w:hyperlink w:anchor="_Toc194240175" w:history="1">
        <w:r>
          <w:rPr>
            <w:rStyle w:val="Hyperlink"/>
            <w:rFonts w:ascii="Kohinoor Devanagari" w:hAnsi="Kohinoor Devanagari" w:cs="Kohinoor Devanagari"/>
            <w:b/>
            <w:bCs/>
            <w:noProof/>
          </w:rPr>
          <w:t>5</w:t>
        </w:r>
        <w:r w:rsidR="00B947AE" w:rsidRPr="00052C7B">
          <w:rPr>
            <w:rStyle w:val="Hyperlink"/>
            <w:rFonts w:ascii="Kohinoor Devanagari" w:hAnsi="Kohinoor Devanagari" w:cs="Kohinoor Devanagari"/>
            <w:b/>
            <w:bCs/>
            <w:noProof/>
          </w:rPr>
          <w:t>.7.</w:t>
        </w:r>
        <w:r w:rsidR="00B947AE">
          <w:rPr>
            <w:rFonts w:eastAsiaTheme="minorEastAsia"/>
            <w:noProof/>
            <w:sz w:val="24"/>
            <w:szCs w:val="24"/>
            <w:lang w:eastAsia="fr-FR"/>
          </w:rPr>
          <w:tab/>
        </w:r>
        <w:r w:rsidR="00B947AE" w:rsidRPr="00052C7B">
          <w:rPr>
            <w:rStyle w:val="Hyperlink"/>
            <w:rFonts w:ascii="Kohinoor Devanagari" w:hAnsi="Kohinoor Devanagari" w:cs="Kohinoor Devanagari"/>
            <w:b/>
            <w:bCs/>
            <w:noProof/>
          </w:rPr>
          <w:t>Continuous Review and Updates</w:t>
        </w:r>
        <w:r w:rsidR="00B947AE">
          <w:rPr>
            <w:noProof/>
            <w:webHidden/>
          </w:rPr>
          <w:tab/>
        </w:r>
        <w:r w:rsidR="00B947AE">
          <w:rPr>
            <w:noProof/>
            <w:webHidden/>
          </w:rPr>
          <w:fldChar w:fldCharType="begin"/>
        </w:r>
        <w:r w:rsidR="00B947AE">
          <w:rPr>
            <w:noProof/>
            <w:webHidden/>
          </w:rPr>
          <w:instrText xml:space="preserve"> PAGEREF _Toc194240175 \h </w:instrText>
        </w:r>
        <w:r w:rsidR="00B947AE">
          <w:rPr>
            <w:noProof/>
            <w:webHidden/>
          </w:rPr>
        </w:r>
        <w:r w:rsidR="00B947AE">
          <w:rPr>
            <w:noProof/>
            <w:webHidden/>
          </w:rPr>
          <w:fldChar w:fldCharType="separate"/>
        </w:r>
        <w:r w:rsidR="003D14B6">
          <w:rPr>
            <w:noProof/>
            <w:webHidden/>
          </w:rPr>
          <w:t>5</w:t>
        </w:r>
        <w:r w:rsidR="00784D83">
          <w:rPr>
            <w:noProof/>
            <w:webHidden/>
          </w:rPr>
          <w:t>5</w:t>
        </w:r>
        <w:r w:rsidR="00B947AE">
          <w:rPr>
            <w:noProof/>
            <w:webHidden/>
          </w:rPr>
          <w:fldChar w:fldCharType="end"/>
        </w:r>
      </w:hyperlink>
    </w:p>
    <w:p w14:paraId="1D3A664C" w14:textId="129DA7F3" w:rsidR="00B947AE" w:rsidRDefault="004121C8">
      <w:pPr>
        <w:pStyle w:val="TOC2"/>
        <w:tabs>
          <w:tab w:val="left" w:pos="960"/>
          <w:tab w:val="right" w:leader="dot" w:pos="9338"/>
        </w:tabs>
        <w:rPr>
          <w:rFonts w:eastAsiaTheme="minorEastAsia"/>
          <w:noProof/>
          <w:sz w:val="24"/>
          <w:szCs w:val="24"/>
          <w:lang w:eastAsia="fr-FR"/>
        </w:rPr>
      </w:pPr>
      <w:hyperlink w:anchor="_Toc194240176" w:history="1">
        <w:r>
          <w:rPr>
            <w:rStyle w:val="Hyperlink"/>
            <w:rFonts w:ascii="Kohinoor Devanagari" w:hAnsi="Kohinoor Devanagari" w:cs="Kohinoor Devanagari"/>
            <w:b/>
            <w:bCs/>
            <w:noProof/>
          </w:rPr>
          <w:t>5</w:t>
        </w:r>
        <w:r w:rsidR="00B947AE" w:rsidRPr="00052C7B">
          <w:rPr>
            <w:rStyle w:val="Hyperlink"/>
            <w:rFonts w:ascii="Kohinoor Devanagari" w:hAnsi="Kohinoor Devanagari" w:cs="Kohinoor Devanagari"/>
            <w:b/>
            <w:bCs/>
            <w:noProof/>
          </w:rPr>
          <w:t>.8.</w:t>
        </w:r>
        <w:r w:rsidR="00B947AE">
          <w:rPr>
            <w:rFonts w:eastAsiaTheme="minorEastAsia"/>
            <w:noProof/>
            <w:sz w:val="24"/>
            <w:szCs w:val="24"/>
            <w:lang w:eastAsia="fr-FR"/>
          </w:rPr>
          <w:tab/>
        </w:r>
        <w:r w:rsidR="00B947AE" w:rsidRPr="00052C7B">
          <w:rPr>
            <w:rStyle w:val="Hyperlink"/>
            <w:rFonts w:ascii="Kohinoor Devanagari" w:hAnsi="Kohinoor Devanagari" w:cs="Kohinoor Devanagari"/>
            <w:b/>
            <w:bCs/>
            <w:noProof/>
          </w:rPr>
          <w:t>Implementation and Publication</w:t>
        </w:r>
        <w:r w:rsidR="00B947AE">
          <w:rPr>
            <w:noProof/>
            <w:webHidden/>
          </w:rPr>
          <w:tab/>
        </w:r>
        <w:r w:rsidR="00B947AE">
          <w:rPr>
            <w:noProof/>
            <w:webHidden/>
          </w:rPr>
          <w:fldChar w:fldCharType="begin"/>
        </w:r>
        <w:r w:rsidR="00B947AE">
          <w:rPr>
            <w:noProof/>
            <w:webHidden/>
          </w:rPr>
          <w:instrText xml:space="preserve"> PAGEREF _Toc194240176 \h </w:instrText>
        </w:r>
        <w:r w:rsidR="00B947AE">
          <w:rPr>
            <w:noProof/>
            <w:webHidden/>
          </w:rPr>
        </w:r>
        <w:r w:rsidR="00B947AE">
          <w:rPr>
            <w:noProof/>
            <w:webHidden/>
          </w:rPr>
          <w:fldChar w:fldCharType="separate"/>
        </w:r>
        <w:r w:rsidR="003D14B6">
          <w:rPr>
            <w:noProof/>
            <w:webHidden/>
          </w:rPr>
          <w:t>5</w:t>
        </w:r>
        <w:r w:rsidR="009F6C1D">
          <w:rPr>
            <w:noProof/>
            <w:webHidden/>
          </w:rPr>
          <w:t>5</w:t>
        </w:r>
        <w:r w:rsidR="00B947AE">
          <w:rPr>
            <w:noProof/>
            <w:webHidden/>
          </w:rPr>
          <w:fldChar w:fldCharType="end"/>
        </w:r>
      </w:hyperlink>
    </w:p>
    <w:p w14:paraId="64733797" w14:textId="4C60417D" w:rsidR="00B947AE" w:rsidRDefault="004121C8">
      <w:pPr>
        <w:pStyle w:val="TOC1"/>
        <w:rPr>
          <w:rFonts w:asciiTheme="minorHAnsi" w:eastAsiaTheme="minorEastAsia" w:hAnsiTheme="minorHAnsi" w:cstheme="minorBidi"/>
          <w:b w:val="0"/>
          <w:bCs w:val="0"/>
          <w:caps w:val="0"/>
          <w:kern w:val="2"/>
          <w:sz w:val="24"/>
          <w:szCs w:val="24"/>
          <w:lang w:eastAsia="fr-FR"/>
        </w:rPr>
      </w:pPr>
      <w:hyperlink w:anchor="_Toc194240177" w:history="1">
        <w:r>
          <w:rPr>
            <w:rStyle w:val="Hyperlink"/>
            <w:rFonts w:ascii="Kohinoor Devanagari" w:hAnsi="Kohinoor Devanagari" w:cs="Kohinoor Devanagari"/>
            <w14:ligatures w14:val="none"/>
          </w:rPr>
          <w:t>6</w:t>
        </w:r>
        <w:r w:rsidR="00B947AE" w:rsidRPr="00052C7B">
          <w:rPr>
            <w:rStyle w:val="Hyperlink"/>
            <w:rFonts w:ascii="Kohinoor Devanagari" w:hAnsi="Kohinoor Devanagari" w:cs="Kohinoor Devanagari"/>
            <w14:ligatures w14:val="none"/>
          </w:rPr>
          <w:t>. Conclusion and Next Steps</w:t>
        </w:r>
        <w:r w:rsidR="00B947AE">
          <w:rPr>
            <w:webHidden/>
          </w:rPr>
          <w:tab/>
        </w:r>
        <w:r w:rsidR="00B947AE">
          <w:rPr>
            <w:webHidden/>
          </w:rPr>
          <w:fldChar w:fldCharType="begin"/>
        </w:r>
        <w:r w:rsidR="00B947AE">
          <w:rPr>
            <w:webHidden/>
          </w:rPr>
          <w:instrText xml:space="preserve"> PAGEREF _Toc194240177 \h </w:instrText>
        </w:r>
        <w:r w:rsidR="00B947AE">
          <w:rPr>
            <w:webHidden/>
          </w:rPr>
        </w:r>
        <w:r w:rsidR="00B947AE">
          <w:rPr>
            <w:webHidden/>
          </w:rPr>
          <w:fldChar w:fldCharType="separate"/>
        </w:r>
        <w:r w:rsidR="003D14B6">
          <w:rPr>
            <w:webHidden/>
          </w:rPr>
          <w:t>5</w:t>
        </w:r>
        <w:r w:rsidR="00845695">
          <w:rPr>
            <w:webHidden/>
          </w:rPr>
          <w:t>6</w:t>
        </w:r>
        <w:r w:rsidR="00B947AE">
          <w:rPr>
            <w:webHidden/>
          </w:rPr>
          <w:fldChar w:fldCharType="end"/>
        </w:r>
      </w:hyperlink>
    </w:p>
    <w:p w14:paraId="33288EB9" w14:textId="2E3A5C08" w:rsidR="00B947AE" w:rsidRDefault="004121C8">
      <w:pPr>
        <w:pStyle w:val="TOC2"/>
        <w:tabs>
          <w:tab w:val="left" w:pos="960"/>
          <w:tab w:val="right" w:leader="dot" w:pos="9338"/>
        </w:tabs>
        <w:rPr>
          <w:rFonts w:eastAsiaTheme="minorEastAsia"/>
          <w:noProof/>
          <w:sz w:val="24"/>
          <w:szCs w:val="24"/>
          <w:lang w:eastAsia="fr-FR"/>
        </w:rPr>
      </w:pPr>
      <w:hyperlink w:anchor="_Toc194240178" w:history="1">
        <w:r>
          <w:rPr>
            <w:rStyle w:val="Hyperlink"/>
            <w:rFonts w:ascii="Kohinoor Devanagari" w:hAnsi="Kohinoor Devanagari" w:cs="Kohinoor Devanagari"/>
            <w:b/>
            <w:bCs/>
            <w:noProof/>
          </w:rPr>
          <w:t>6</w:t>
        </w:r>
        <w:r w:rsidR="00B947AE" w:rsidRPr="00052C7B">
          <w:rPr>
            <w:rStyle w:val="Hyperlink"/>
            <w:rFonts w:ascii="Kohinoor Devanagari" w:hAnsi="Kohinoor Devanagari" w:cs="Kohinoor Devanagari"/>
            <w:b/>
            <w:bCs/>
            <w:noProof/>
          </w:rPr>
          <w:t>.1.</w:t>
        </w:r>
        <w:r w:rsidR="00B947AE">
          <w:rPr>
            <w:rFonts w:eastAsiaTheme="minorEastAsia"/>
            <w:noProof/>
            <w:sz w:val="24"/>
            <w:szCs w:val="24"/>
            <w:lang w:eastAsia="fr-FR"/>
          </w:rPr>
          <w:tab/>
        </w:r>
        <w:r w:rsidR="00B947AE" w:rsidRPr="00052C7B">
          <w:rPr>
            <w:rStyle w:val="Hyperlink"/>
            <w:rFonts w:ascii="Kohinoor Devanagari" w:hAnsi="Kohinoor Devanagari" w:cs="Kohinoor Devanagari"/>
            <w:b/>
            <w:bCs/>
            <w:noProof/>
          </w:rPr>
          <w:t>Summary of findings</w:t>
        </w:r>
        <w:r w:rsidR="00B947AE">
          <w:rPr>
            <w:noProof/>
            <w:webHidden/>
          </w:rPr>
          <w:tab/>
        </w:r>
        <w:r w:rsidR="00B947AE">
          <w:rPr>
            <w:noProof/>
            <w:webHidden/>
          </w:rPr>
          <w:fldChar w:fldCharType="begin"/>
        </w:r>
        <w:r w:rsidR="00B947AE">
          <w:rPr>
            <w:noProof/>
            <w:webHidden/>
          </w:rPr>
          <w:instrText xml:space="preserve"> PAGEREF _Toc194240178 \h </w:instrText>
        </w:r>
        <w:r w:rsidR="00B947AE">
          <w:rPr>
            <w:noProof/>
            <w:webHidden/>
          </w:rPr>
        </w:r>
        <w:r w:rsidR="00B947AE">
          <w:rPr>
            <w:noProof/>
            <w:webHidden/>
          </w:rPr>
          <w:fldChar w:fldCharType="separate"/>
        </w:r>
        <w:r w:rsidR="003D14B6">
          <w:rPr>
            <w:noProof/>
            <w:webHidden/>
          </w:rPr>
          <w:t>5</w:t>
        </w:r>
        <w:r w:rsidR="00845695">
          <w:rPr>
            <w:noProof/>
            <w:webHidden/>
          </w:rPr>
          <w:t>6</w:t>
        </w:r>
        <w:r w:rsidR="00B947AE">
          <w:rPr>
            <w:noProof/>
            <w:webHidden/>
          </w:rPr>
          <w:fldChar w:fldCharType="end"/>
        </w:r>
      </w:hyperlink>
    </w:p>
    <w:p w14:paraId="35F81424" w14:textId="4F81D356" w:rsidR="00B947AE" w:rsidRDefault="004121C8">
      <w:pPr>
        <w:pStyle w:val="TOC2"/>
        <w:tabs>
          <w:tab w:val="left" w:pos="960"/>
          <w:tab w:val="right" w:leader="dot" w:pos="9338"/>
        </w:tabs>
        <w:rPr>
          <w:rFonts w:eastAsiaTheme="minorEastAsia"/>
          <w:noProof/>
          <w:sz w:val="24"/>
          <w:szCs w:val="24"/>
          <w:lang w:eastAsia="fr-FR"/>
        </w:rPr>
      </w:pPr>
      <w:hyperlink w:anchor="_Toc194240179" w:history="1">
        <w:r>
          <w:rPr>
            <w:rStyle w:val="Hyperlink"/>
            <w:rFonts w:ascii="Kohinoor Devanagari" w:hAnsi="Kohinoor Devanagari" w:cs="Kohinoor Devanagari"/>
            <w:b/>
            <w:bCs/>
            <w:noProof/>
          </w:rPr>
          <w:t>6</w:t>
        </w:r>
        <w:r w:rsidR="00B947AE" w:rsidRPr="00052C7B">
          <w:rPr>
            <w:rStyle w:val="Hyperlink"/>
            <w:rFonts w:ascii="Kohinoor Devanagari" w:hAnsi="Kohinoor Devanagari" w:cs="Kohinoor Devanagari"/>
            <w:b/>
            <w:bCs/>
            <w:noProof/>
          </w:rPr>
          <w:t>.2.</w:t>
        </w:r>
        <w:r w:rsidR="00B947AE">
          <w:rPr>
            <w:rFonts w:eastAsiaTheme="minorEastAsia"/>
            <w:noProof/>
            <w:sz w:val="24"/>
            <w:szCs w:val="24"/>
            <w:lang w:eastAsia="fr-FR"/>
          </w:rPr>
          <w:tab/>
        </w:r>
        <w:r w:rsidR="00B947AE" w:rsidRPr="00052C7B">
          <w:rPr>
            <w:rStyle w:val="Hyperlink"/>
            <w:rFonts w:ascii="Kohinoor Devanagari" w:hAnsi="Kohinoor Devanagari" w:cs="Kohinoor Devanagari"/>
            <w:b/>
            <w:bCs/>
            <w:noProof/>
          </w:rPr>
          <w:t>Roadmap for Policy Development</w:t>
        </w:r>
        <w:r w:rsidR="00B947AE">
          <w:rPr>
            <w:noProof/>
            <w:webHidden/>
          </w:rPr>
          <w:tab/>
        </w:r>
        <w:r w:rsidR="00B947AE">
          <w:rPr>
            <w:noProof/>
            <w:webHidden/>
          </w:rPr>
          <w:fldChar w:fldCharType="begin"/>
        </w:r>
        <w:r w:rsidR="00B947AE">
          <w:rPr>
            <w:noProof/>
            <w:webHidden/>
          </w:rPr>
          <w:instrText xml:space="preserve"> PAGEREF _Toc194240179 \h </w:instrText>
        </w:r>
        <w:r w:rsidR="00B947AE">
          <w:rPr>
            <w:noProof/>
            <w:webHidden/>
          </w:rPr>
        </w:r>
        <w:r w:rsidR="00B947AE">
          <w:rPr>
            <w:noProof/>
            <w:webHidden/>
          </w:rPr>
          <w:fldChar w:fldCharType="separate"/>
        </w:r>
        <w:r w:rsidR="003D14B6">
          <w:rPr>
            <w:noProof/>
            <w:webHidden/>
          </w:rPr>
          <w:t>5</w:t>
        </w:r>
        <w:r w:rsidR="005B46E4">
          <w:rPr>
            <w:noProof/>
            <w:webHidden/>
          </w:rPr>
          <w:t>7</w:t>
        </w:r>
        <w:r w:rsidR="00B947AE">
          <w:rPr>
            <w:noProof/>
            <w:webHidden/>
          </w:rPr>
          <w:fldChar w:fldCharType="end"/>
        </w:r>
      </w:hyperlink>
    </w:p>
    <w:p w14:paraId="0929871E" w14:textId="597278E1" w:rsidR="00B947AE" w:rsidRDefault="00EA5813">
      <w:pPr>
        <w:pStyle w:val="TOC2"/>
        <w:tabs>
          <w:tab w:val="left" w:pos="960"/>
          <w:tab w:val="right" w:leader="dot" w:pos="9338"/>
        </w:tabs>
        <w:rPr>
          <w:rFonts w:eastAsiaTheme="minorEastAsia"/>
          <w:noProof/>
          <w:sz w:val="24"/>
          <w:szCs w:val="24"/>
          <w:lang w:eastAsia="fr-FR"/>
        </w:rPr>
      </w:pPr>
      <w:hyperlink w:anchor="_Toc194240180" w:history="1">
        <w:r>
          <w:rPr>
            <w:rStyle w:val="Hyperlink"/>
            <w:rFonts w:ascii="Kohinoor Devanagari" w:hAnsi="Kohinoor Devanagari" w:cs="Kohinoor Devanagari"/>
            <w:b/>
            <w:bCs/>
            <w:noProof/>
          </w:rPr>
          <w:t>6</w:t>
        </w:r>
        <w:r w:rsidR="00B947AE" w:rsidRPr="00052C7B">
          <w:rPr>
            <w:rStyle w:val="Hyperlink"/>
            <w:rFonts w:ascii="Kohinoor Devanagari" w:hAnsi="Kohinoor Devanagari" w:cs="Kohinoor Devanagari"/>
            <w:b/>
            <w:bCs/>
            <w:noProof/>
          </w:rPr>
          <w:t>.</w:t>
        </w:r>
        <w:r w:rsidR="003968E8">
          <w:rPr>
            <w:rStyle w:val="Hyperlink"/>
            <w:rFonts w:ascii="Kohinoor Devanagari" w:hAnsi="Kohinoor Devanagari" w:cs="Kohinoor Devanagari"/>
            <w:b/>
            <w:bCs/>
            <w:noProof/>
          </w:rPr>
          <w:t>4</w:t>
        </w:r>
        <w:r w:rsidR="00B947AE" w:rsidRPr="00052C7B">
          <w:rPr>
            <w:rStyle w:val="Hyperlink"/>
            <w:rFonts w:ascii="Kohinoor Devanagari" w:hAnsi="Kohinoor Devanagari" w:cs="Kohinoor Devanagari"/>
            <w:b/>
            <w:bCs/>
            <w:noProof/>
          </w:rPr>
          <w:t>.</w:t>
        </w:r>
        <w:r w:rsidR="00B947AE">
          <w:rPr>
            <w:rFonts w:eastAsiaTheme="minorEastAsia"/>
            <w:noProof/>
            <w:sz w:val="24"/>
            <w:szCs w:val="24"/>
            <w:lang w:eastAsia="fr-FR"/>
          </w:rPr>
          <w:tab/>
        </w:r>
        <w:r w:rsidR="00B947AE" w:rsidRPr="00052C7B">
          <w:rPr>
            <w:rStyle w:val="Hyperlink"/>
            <w:rFonts w:ascii="Kohinoor Devanagari" w:hAnsi="Kohinoor Devanagari" w:cs="Kohinoor Devanagari"/>
            <w:b/>
            <w:bCs/>
            <w:noProof/>
          </w:rPr>
          <w:t>Final Remarks</w:t>
        </w:r>
        <w:r w:rsidR="00B947AE">
          <w:rPr>
            <w:noProof/>
            <w:webHidden/>
          </w:rPr>
          <w:tab/>
        </w:r>
        <w:r w:rsidR="00B947AE">
          <w:rPr>
            <w:noProof/>
            <w:webHidden/>
          </w:rPr>
          <w:fldChar w:fldCharType="begin"/>
        </w:r>
        <w:r w:rsidR="00B947AE">
          <w:rPr>
            <w:noProof/>
            <w:webHidden/>
          </w:rPr>
          <w:instrText xml:space="preserve"> PAGEREF _Toc194240180 \h </w:instrText>
        </w:r>
        <w:r w:rsidR="00B947AE">
          <w:rPr>
            <w:noProof/>
            <w:webHidden/>
          </w:rPr>
        </w:r>
        <w:r w:rsidR="00B947AE">
          <w:rPr>
            <w:noProof/>
            <w:webHidden/>
          </w:rPr>
          <w:fldChar w:fldCharType="separate"/>
        </w:r>
        <w:r w:rsidR="003D14B6">
          <w:rPr>
            <w:noProof/>
            <w:webHidden/>
          </w:rPr>
          <w:t>6</w:t>
        </w:r>
        <w:r w:rsidR="006C4AFA">
          <w:rPr>
            <w:noProof/>
            <w:webHidden/>
          </w:rPr>
          <w:t>1</w:t>
        </w:r>
        <w:r w:rsidR="00B947AE">
          <w:rPr>
            <w:noProof/>
            <w:webHidden/>
          </w:rPr>
          <w:fldChar w:fldCharType="end"/>
        </w:r>
      </w:hyperlink>
    </w:p>
    <w:p w14:paraId="19313BCE" w14:textId="07694CE3" w:rsidR="00B947AE" w:rsidRDefault="00EA5813">
      <w:pPr>
        <w:pStyle w:val="TOC1"/>
        <w:rPr>
          <w:rFonts w:asciiTheme="minorHAnsi" w:eastAsiaTheme="minorEastAsia" w:hAnsiTheme="minorHAnsi" w:cstheme="minorBidi"/>
          <w:b w:val="0"/>
          <w:bCs w:val="0"/>
          <w:caps w:val="0"/>
          <w:kern w:val="2"/>
          <w:sz w:val="24"/>
          <w:szCs w:val="24"/>
          <w:lang w:eastAsia="fr-FR"/>
        </w:rPr>
      </w:pPr>
      <w:hyperlink w:anchor="_Toc194240181" w:history="1">
        <w:r>
          <w:rPr>
            <w:rStyle w:val="Hyperlink"/>
            <w:rFonts w:ascii="Kohinoor Devanagari" w:hAnsi="Kohinoor Devanagari" w:cs="Kohinoor Devanagari"/>
            <w14:ligatures w14:val="none"/>
          </w:rPr>
          <w:t>7</w:t>
        </w:r>
        <w:r w:rsidR="00B947AE" w:rsidRPr="00052C7B">
          <w:rPr>
            <w:rStyle w:val="Hyperlink"/>
            <w:rFonts w:ascii="Kohinoor Devanagari" w:hAnsi="Kohinoor Devanagari" w:cs="Kohinoor Devanagari"/>
            <w14:ligatures w14:val="none"/>
          </w:rPr>
          <w:t>. Appendices</w:t>
        </w:r>
        <w:r w:rsidR="00B947AE">
          <w:rPr>
            <w:webHidden/>
          </w:rPr>
          <w:tab/>
        </w:r>
        <w:r w:rsidR="00B947AE">
          <w:rPr>
            <w:webHidden/>
          </w:rPr>
          <w:fldChar w:fldCharType="begin"/>
        </w:r>
        <w:r w:rsidR="00B947AE">
          <w:rPr>
            <w:webHidden/>
          </w:rPr>
          <w:instrText xml:space="preserve"> PAGEREF _Toc194240181 \h </w:instrText>
        </w:r>
        <w:r w:rsidR="00B947AE">
          <w:rPr>
            <w:webHidden/>
          </w:rPr>
        </w:r>
        <w:r w:rsidR="00B947AE">
          <w:rPr>
            <w:webHidden/>
          </w:rPr>
          <w:fldChar w:fldCharType="separate"/>
        </w:r>
        <w:r w:rsidR="003D14B6">
          <w:rPr>
            <w:webHidden/>
          </w:rPr>
          <w:t>6</w:t>
        </w:r>
        <w:r w:rsidR="00763BF3">
          <w:rPr>
            <w:webHidden/>
          </w:rPr>
          <w:t>2</w:t>
        </w:r>
        <w:r w:rsidR="00B947AE">
          <w:rPr>
            <w:webHidden/>
          </w:rPr>
          <w:fldChar w:fldCharType="end"/>
        </w:r>
      </w:hyperlink>
    </w:p>
    <w:p w14:paraId="10D00044" w14:textId="4E37D918" w:rsidR="00B947AE" w:rsidRDefault="00EA5813">
      <w:pPr>
        <w:pStyle w:val="TOC2"/>
        <w:tabs>
          <w:tab w:val="left" w:pos="960"/>
          <w:tab w:val="right" w:leader="dot" w:pos="9338"/>
        </w:tabs>
        <w:rPr>
          <w:rFonts w:eastAsiaTheme="minorEastAsia"/>
          <w:noProof/>
          <w:sz w:val="24"/>
          <w:szCs w:val="24"/>
          <w:lang w:eastAsia="fr-FR"/>
        </w:rPr>
      </w:pPr>
      <w:hyperlink w:anchor="_Toc194240182" w:history="1">
        <w:r>
          <w:rPr>
            <w:rStyle w:val="Hyperlink"/>
            <w:rFonts w:ascii="Kohinoor Devanagari" w:hAnsi="Kohinoor Devanagari" w:cs="Kohinoor Devanagari"/>
            <w:b/>
            <w:bCs/>
            <w:noProof/>
          </w:rPr>
          <w:t>7</w:t>
        </w:r>
        <w:r w:rsidR="00B947AE" w:rsidRPr="00052C7B">
          <w:rPr>
            <w:rStyle w:val="Hyperlink"/>
            <w:rFonts w:ascii="Kohinoor Devanagari" w:hAnsi="Kohinoor Devanagari" w:cs="Kohinoor Devanagari"/>
            <w:b/>
            <w:bCs/>
            <w:noProof/>
          </w:rPr>
          <w:t>.1.</w:t>
        </w:r>
        <w:r w:rsidR="00B947AE">
          <w:rPr>
            <w:rFonts w:eastAsiaTheme="minorEastAsia"/>
            <w:noProof/>
            <w:sz w:val="24"/>
            <w:szCs w:val="24"/>
            <w:lang w:eastAsia="fr-FR"/>
          </w:rPr>
          <w:tab/>
        </w:r>
        <w:r w:rsidR="00B947AE" w:rsidRPr="00052C7B">
          <w:rPr>
            <w:rStyle w:val="Hyperlink"/>
            <w:rFonts w:ascii="Kohinoor Devanagari" w:hAnsi="Kohinoor Devanagari" w:cs="Kohinoor Devanagari"/>
            <w:b/>
            <w:bCs/>
            <w:noProof/>
          </w:rPr>
          <w:t>Iraq EITI Data Disclosure Framework</w:t>
        </w:r>
        <w:r w:rsidR="00B947AE">
          <w:rPr>
            <w:noProof/>
            <w:webHidden/>
          </w:rPr>
          <w:tab/>
        </w:r>
        <w:r w:rsidR="00B947AE">
          <w:rPr>
            <w:noProof/>
            <w:webHidden/>
          </w:rPr>
          <w:fldChar w:fldCharType="begin"/>
        </w:r>
        <w:r w:rsidR="00B947AE">
          <w:rPr>
            <w:noProof/>
            <w:webHidden/>
          </w:rPr>
          <w:instrText xml:space="preserve"> PAGEREF _Toc194240182 \h </w:instrText>
        </w:r>
        <w:r w:rsidR="00B947AE">
          <w:rPr>
            <w:noProof/>
            <w:webHidden/>
          </w:rPr>
        </w:r>
        <w:r w:rsidR="00B947AE">
          <w:rPr>
            <w:noProof/>
            <w:webHidden/>
          </w:rPr>
          <w:fldChar w:fldCharType="separate"/>
        </w:r>
        <w:r w:rsidR="003D14B6">
          <w:rPr>
            <w:noProof/>
            <w:webHidden/>
          </w:rPr>
          <w:t>6</w:t>
        </w:r>
        <w:r w:rsidR="002026B6">
          <w:rPr>
            <w:noProof/>
            <w:webHidden/>
          </w:rPr>
          <w:t>2</w:t>
        </w:r>
        <w:r w:rsidR="00B947AE">
          <w:rPr>
            <w:noProof/>
            <w:webHidden/>
          </w:rPr>
          <w:fldChar w:fldCharType="end"/>
        </w:r>
      </w:hyperlink>
    </w:p>
    <w:p w14:paraId="184CDF8A" w14:textId="4A514A91" w:rsidR="002E77A2" w:rsidRPr="00A3573B" w:rsidRDefault="002E77A2" w:rsidP="002E77A2">
      <w:pPr>
        <w:spacing w:after="0" w:line="288" w:lineRule="auto"/>
        <w:rPr>
          <w:rFonts w:ascii="Kohinoor Devanagari" w:hAnsi="Kohinoor Devanagari" w:cs="Kohinoor Devanagari"/>
        </w:rPr>
        <w:sectPr w:rsidR="002E77A2" w:rsidRPr="00A3573B" w:rsidSect="002E77A2">
          <w:headerReference w:type="even" r:id="rId16"/>
          <w:headerReference w:type="default" r:id="rId17"/>
          <w:footerReference w:type="default" r:id="rId18"/>
          <w:headerReference w:type="first" r:id="rId19"/>
          <w:pgSz w:w="11900" w:h="16840"/>
          <w:pgMar w:top="1418" w:right="1134" w:bottom="1418" w:left="1418" w:header="567" w:footer="567" w:gutter="0"/>
          <w:cols w:space="708"/>
          <w:docGrid w:linePitch="360"/>
        </w:sectPr>
      </w:pPr>
      <w:r w:rsidRPr="004C46D6">
        <w:rPr>
          <w:rFonts w:ascii="Kohinoor Devanagari" w:hAnsi="Kohinoor Devanagari" w:cs="Kohinoor Devanagari"/>
          <w:sz w:val="22"/>
          <w:szCs w:val="22"/>
        </w:rPr>
        <w:fldChar w:fldCharType="end"/>
      </w:r>
      <w:bookmarkEnd w:id="1"/>
    </w:p>
    <w:p w14:paraId="32E21B33" w14:textId="54C66868" w:rsidR="001B42A1" w:rsidRPr="00442C82" w:rsidRDefault="00CA7D51" w:rsidP="001B42A1">
      <w:pPr>
        <w:spacing w:after="240" w:line="240" w:lineRule="auto"/>
        <w:rPr>
          <w:rFonts w:ascii="Kohinoor Devanagari" w:eastAsia="Trebuchet MS" w:hAnsi="Kohinoor Devanagari" w:cs="Kohinoor Devanagari"/>
          <w:b/>
          <w:bCs/>
          <w:color w:val="61BC4D"/>
          <w:kern w:val="0"/>
          <w:sz w:val="26"/>
          <w:szCs w:val="26"/>
          <w:lang w:eastAsia="en-GB"/>
          <w14:ligatures w14:val="none"/>
        </w:rPr>
      </w:pPr>
      <w:bookmarkStart w:id="2" w:name="_Toc536002910"/>
      <w:r w:rsidRPr="00442C82">
        <w:rPr>
          <w:rFonts w:ascii="Kohinoor Devanagari" w:eastAsia="Trebuchet MS" w:hAnsi="Kohinoor Devanagari" w:cs="Kohinoor Devanagari"/>
          <w:b/>
          <w:bCs/>
          <w:color w:val="61BC4D"/>
          <w:kern w:val="0"/>
          <w:sz w:val="26"/>
          <w:szCs w:val="26"/>
          <w:lang w:eastAsia="en-GB"/>
          <w14:ligatures w14:val="none"/>
        </w:rPr>
        <w:lastRenderedPageBreak/>
        <w:t xml:space="preserve">List of Abbreviations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6"/>
        <w:gridCol w:w="7968"/>
      </w:tblGrid>
      <w:tr w:rsidR="00CA7D51" w:rsidRPr="00A3573B" w14:paraId="20B6738A" w14:textId="77777777" w:rsidTr="00895E66">
        <w:tc>
          <w:tcPr>
            <w:tcW w:w="0" w:type="auto"/>
            <w:shd w:val="clear" w:color="auto" w:fill="D9F2D0"/>
            <w:hideMark/>
          </w:tcPr>
          <w:p w14:paraId="4BD9149E" w14:textId="77777777" w:rsidR="00CA7D51" w:rsidRPr="00A3573B" w:rsidRDefault="00CA7D51" w:rsidP="001B42A1">
            <w:pPr>
              <w:spacing w:before="60" w:after="60"/>
              <w:rPr>
                <w:rFonts w:ascii="Kohinoor Devanagari" w:eastAsia="Trebuchet MS" w:hAnsi="Kohinoor Devanagari" w:cs="Kohinoor Devanagari"/>
                <w:b/>
                <w:kern w:val="0"/>
                <w:sz w:val="22"/>
                <w:szCs w:val="22"/>
                <w:lang w:val="fr-FR" w:eastAsia="en-GB"/>
                <w14:ligatures w14:val="none"/>
              </w:rPr>
            </w:pPr>
            <w:r w:rsidRPr="00A3573B">
              <w:rPr>
                <w:rFonts w:ascii="Kohinoor Devanagari" w:eastAsia="Trebuchet MS" w:hAnsi="Kohinoor Devanagari" w:cs="Kohinoor Devanagari"/>
                <w:b/>
                <w:bCs/>
                <w:kern w:val="0"/>
                <w:sz w:val="22"/>
                <w:szCs w:val="22"/>
                <w:lang w:val="fr-FR" w:eastAsia="en-GB"/>
                <w14:ligatures w14:val="none"/>
              </w:rPr>
              <w:t>CBI</w:t>
            </w:r>
          </w:p>
        </w:tc>
        <w:tc>
          <w:tcPr>
            <w:tcW w:w="7968" w:type="dxa"/>
            <w:shd w:val="clear" w:color="auto" w:fill="D9F2D0"/>
            <w:hideMark/>
          </w:tcPr>
          <w:p w14:paraId="61F8CBFC" w14:textId="77777777" w:rsidR="00CA7D51" w:rsidRPr="00895E66" w:rsidRDefault="00CA7D51" w:rsidP="001B42A1">
            <w:pPr>
              <w:spacing w:before="60" w:after="60"/>
              <w:rPr>
                <w:rFonts w:ascii="Kohinoor Devanagari" w:eastAsia="Trebuchet MS" w:hAnsi="Kohinoor Devanagari" w:cs="Kohinoor Devanagari"/>
                <w:bCs/>
                <w:kern w:val="0"/>
                <w:sz w:val="22"/>
                <w:szCs w:val="22"/>
                <w:lang w:eastAsia="en-GB"/>
                <w14:ligatures w14:val="none"/>
              </w:rPr>
            </w:pPr>
            <w:r w:rsidRPr="00895E66">
              <w:rPr>
                <w:rFonts w:ascii="Kohinoor Devanagari" w:eastAsia="Trebuchet MS" w:hAnsi="Kohinoor Devanagari" w:cs="Kohinoor Devanagari"/>
                <w:bCs/>
                <w:kern w:val="0"/>
                <w:sz w:val="22"/>
                <w:szCs w:val="22"/>
                <w:lang w:eastAsia="en-GB"/>
                <w14:ligatures w14:val="none"/>
              </w:rPr>
              <w:t>Central Bank of Iraq</w:t>
            </w:r>
          </w:p>
        </w:tc>
      </w:tr>
      <w:tr w:rsidR="00CA7D51" w:rsidRPr="00A3573B" w14:paraId="36A03030" w14:textId="77777777" w:rsidTr="00895E66">
        <w:tc>
          <w:tcPr>
            <w:tcW w:w="0" w:type="auto"/>
            <w:shd w:val="clear" w:color="auto" w:fill="FFFFFF" w:themeFill="background1"/>
            <w:hideMark/>
          </w:tcPr>
          <w:p w14:paraId="127B4BAE" w14:textId="77777777" w:rsidR="00CA7D51" w:rsidRPr="00A3573B" w:rsidRDefault="00CA7D51" w:rsidP="001B42A1">
            <w:pPr>
              <w:spacing w:before="60" w:after="60"/>
              <w:rPr>
                <w:rFonts w:ascii="Kohinoor Devanagari" w:eastAsia="Trebuchet MS" w:hAnsi="Kohinoor Devanagari" w:cs="Kohinoor Devanagari"/>
                <w:b/>
                <w:kern w:val="0"/>
                <w:sz w:val="22"/>
                <w:szCs w:val="22"/>
                <w:lang w:val="fr-FR" w:eastAsia="en-GB"/>
                <w14:ligatures w14:val="none"/>
              </w:rPr>
            </w:pPr>
            <w:r w:rsidRPr="00A3573B">
              <w:rPr>
                <w:rFonts w:ascii="Kohinoor Devanagari" w:eastAsia="Trebuchet MS" w:hAnsi="Kohinoor Devanagari" w:cs="Kohinoor Devanagari"/>
                <w:b/>
                <w:bCs/>
                <w:kern w:val="0"/>
                <w:sz w:val="22"/>
                <w:szCs w:val="22"/>
                <w:lang w:val="fr-FR" w:eastAsia="en-GB"/>
                <w14:ligatures w14:val="none"/>
              </w:rPr>
              <w:t>COMSEC</w:t>
            </w:r>
          </w:p>
        </w:tc>
        <w:tc>
          <w:tcPr>
            <w:tcW w:w="7968" w:type="dxa"/>
            <w:shd w:val="clear" w:color="auto" w:fill="FFFFFF" w:themeFill="background1"/>
            <w:hideMark/>
          </w:tcPr>
          <w:p w14:paraId="1F12FDD2" w14:textId="77777777" w:rsidR="00CA7D51" w:rsidRPr="00895E66" w:rsidRDefault="00CA7D51" w:rsidP="001B42A1">
            <w:pPr>
              <w:spacing w:before="60" w:after="60"/>
              <w:rPr>
                <w:rFonts w:ascii="Kohinoor Devanagari" w:eastAsia="Trebuchet MS" w:hAnsi="Kohinoor Devanagari" w:cs="Kohinoor Devanagari"/>
                <w:bCs/>
                <w:kern w:val="0"/>
                <w:sz w:val="22"/>
                <w:szCs w:val="22"/>
                <w:lang w:eastAsia="en-GB"/>
                <w14:ligatures w14:val="none"/>
              </w:rPr>
            </w:pPr>
            <w:r w:rsidRPr="00895E66">
              <w:rPr>
                <w:rFonts w:ascii="Kohinoor Devanagari" w:eastAsia="Trebuchet MS" w:hAnsi="Kohinoor Devanagari" w:cs="Kohinoor Devanagari"/>
                <w:bCs/>
                <w:kern w:val="0"/>
                <w:sz w:val="22"/>
                <w:szCs w:val="22"/>
                <w:lang w:eastAsia="en-GB"/>
                <w14:ligatures w14:val="none"/>
              </w:rPr>
              <w:t>Council of Ministers Secretariat</w:t>
            </w:r>
          </w:p>
        </w:tc>
      </w:tr>
      <w:tr w:rsidR="00D5783E" w:rsidRPr="00A3573B" w14:paraId="316E4CAE" w14:textId="77777777" w:rsidTr="00895E66">
        <w:tc>
          <w:tcPr>
            <w:tcW w:w="0" w:type="auto"/>
            <w:shd w:val="clear" w:color="auto" w:fill="D9F2D0" w:themeFill="accent6" w:themeFillTint="33"/>
          </w:tcPr>
          <w:p w14:paraId="4A3ECC9C" w14:textId="5057C0F9" w:rsidR="00D5783E" w:rsidRPr="00A3573B" w:rsidRDefault="00D5783E" w:rsidP="001B42A1">
            <w:pPr>
              <w:spacing w:before="60" w:after="60"/>
              <w:rPr>
                <w:rFonts w:ascii="Kohinoor Devanagari" w:eastAsia="Trebuchet MS" w:hAnsi="Kohinoor Devanagari" w:cs="Kohinoor Devanagari"/>
                <w:b/>
                <w:bCs/>
                <w:kern w:val="0"/>
                <w:sz w:val="22"/>
                <w:szCs w:val="22"/>
                <w:lang w:val="fr-FR" w:eastAsia="en-GB"/>
                <w14:ligatures w14:val="none"/>
              </w:rPr>
            </w:pPr>
            <w:r>
              <w:rPr>
                <w:rFonts w:ascii="Kohinoor Devanagari" w:eastAsia="Trebuchet MS" w:hAnsi="Kohinoor Devanagari" w:cs="Kohinoor Devanagari"/>
                <w:b/>
                <w:bCs/>
                <w:kern w:val="0"/>
                <w:sz w:val="22"/>
                <w:szCs w:val="22"/>
                <w:lang w:val="fr-FR" w:eastAsia="en-GB"/>
                <w14:ligatures w14:val="none"/>
              </w:rPr>
              <w:t xml:space="preserve">CRD </w:t>
            </w:r>
          </w:p>
        </w:tc>
        <w:tc>
          <w:tcPr>
            <w:tcW w:w="7968" w:type="dxa"/>
            <w:shd w:val="clear" w:color="auto" w:fill="D9F2D0" w:themeFill="accent6" w:themeFillTint="33"/>
          </w:tcPr>
          <w:p w14:paraId="663C46A0" w14:textId="474B6D37" w:rsidR="00D5783E" w:rsidRPr="00895E66" w:rsidRDefault="00A12F31" w:rsidP="001B42A1">
            <w:pPr>
              <w:spacing w:before="60" w:after="60"/>
              <w:rPr>
                <w:rFonts w:ascii="Kohinoor Devanagari" w:eastAsia="Trebuchet MS" w:hAnsi="Kohinoor Devanagari" w:cs="Kohinoor Devanagari"/>
                <w:bCs/>
                <w:kern w:val="0"/>
                <w:sz w:val="22"/>
                <w:szCs w:val="22"/>
                <w:lang w:eastAsia="en-GB"/>
                <w14:ligatures w14:val="none"/>
              </w:rPr>
            </w:pPr>
            <w:r w:rsidRPr="00895E66">
              <w:rPr>
                <w:rFonts w:ascii="Kohinoor Devanagari" w:eastAsia="Trebuchet MS" w:hAnsi="Kohinoor Devanagari" w:cs="Kohinoor Devanagari"/>
                <w:bCs/>
                <w:kern w:val="0"/>
                <w:sz w:val="22"/>
                <w:szCs w:val="22"/>
                <w:lang w:eastAsia="en-GB"/>
                <w14:ligatures w14:val="none"/>
              </w:rPr>
              <w:t>Companies Register Department</w:t>
            </w:r>
          </w:p>
        </w:tc>
      </w:tr>
      <w:tr w:rsidR="00CA7D51" w:rsidRPr="00A3573B" w14:paraId="7C2D6DA3" w14:textId="77777777" w:rsidTr="00895E66">
        <w:tc>
          <w:tcPr>
            <w:tcW w:w="0" w:type="auto"/>
            <w:hideMark/>
          </w:tcPr>
          <w:p w14:paraId="3A65858B" w14:textId="77777777" w:rsidR="00CA7D51" w:rsidRPr="00A3573B" w:rsidRDefault="00CA7D51" w:rsidP="001B42A1">
            <w:pPr>
              <w:spacing w:before="60" w:after="60"/>
              <w:rPr>
                <w:rFonts w:ascii="Kohinoor Devanagari" w:eastAsia="Trebuchet MS" w:hAnsi="Kohinoor Devanagari" w:cs="Kohinoor Devanagari"/>
                <w:b/>
                <w:kern w:val="0"/>
                <w:sz w:val="22"/>
                <w:szCs w:val="22"/>
                <w:lang w:val="fr-FR" w:eastAsia="en-GB"/>
                <w14:ligatures w14:val="none"/>
              </w:rPr>
            </w:pPr>
            <w:r w:rsidRPr="00A3573B">
              <w:rPr>
                <w:rFonts w:ascii="Kohinoor Devanagari" w:eastAsia="Trebuchet MS" w:hAnsi="Kohinoor Devanagari" w:cs="Kohinoor Devanagari"/>
                <w:b/>
                <w:bCs/>
                <w:kern w:val="0"/>
                <w:sz w:val="22"/>
                <w:szCs w:val="22"/>
                <w:lang w:val="fr-FR" w:eastAsia="en-GB"/>
                <w14:ligatures w14:val="none"/>
              </w:rPr>
              <w:t>DFI</w:t>
            </w:r>
          </w:p>
        </w:tc>
        <w:tc>
          <w:tcPr>
            <w:tcW w:w="7968" w:type="dxa"/>
            <w:hideMark/>
          </w:tcPr>
          <w:p w14:paraId="63C0F2BF" w14:textId="77777777" w:rsidR="00CA7D51" w:rsidRPr="00895E66" w:rsidRDefault="00CA7D51" w:rsidP="001B42A1">
            <w:pPr>
              <w:spacing w:before="60" w:after="60"/>
              <w:rPr>
                <w:rFonts w:ascii="Kohinoor Devanagari" w:eastAsia="Trebuchet MS" w:hAnsi="Kohinoor Devanagari" w:cs="Kohinoor Devanagari"/>
                <w:bCs/>
                <w:kern w:val="0"/>
                <w:sz w:val="22"/>
                <w:szCs w:val="22"/>
                <w:lang w:eastAsia="en-GB"/>
                <w14:ligatures w14:val="none"/>
              </w:rPr>
            </w:pPr>
            <w:r w:rsidRPr="00895E66">
              <w:rPr>
                <w:rFonts w:ascii="Kohinoor Devanagari" w:eastAsia="Trebuchet MS" w:hAnsi="Kohinoor Devanagari" w:cs="Kohinoor Devanagari"/>
                <w:bCs/>
                <w:kern w:val="0"/>
                <w:sz w:val="22"/>
                <w:szCs w:val="22"/>
                <w:lang w:eastAsia="en-GB"/>
                <w14:ligatures w14:val="none"/>
              </w:rPr>
              <w:t>Development Fund for Iraq</w:t>
            </w:r>
          </w:p>
        </w:tc>
      </w:tr>
      <w:tr w:rsidR="00CA7D51" w:rsidRPr="00A3573B" w14:paraId="03D5E7DE" w14:textId="77777777" w:rsidTr="00895E66">
        <w:tc>
          <w:tcPr>
            <w:tcW w:w="0" w:type="auto"/>
            <w:shd w:val="clear" w:color="auto" w:fill="D9F2D0" w:themeFill="accent6" w:themeFillTint="33"/>
            <w:hideMark/>
          </w:tcPr>
          <w:p w14:paraId="75D407C3" w14:textId="77777777" w:rsidR="00CA7D51" w:rsidRPr="00A3573B" w:rsidRDefault="00CA7D51" w:rsidP="001B42A1">
            <w:pPr>
              <w:spacing w:before="60" w:after="60"/>
              <w:rPr>
                <w:rFonts w:ascii="Kohinoor Devanagari" w:eastAsia="Trebuchet MS" w:hAnsi="Kohinoor Devanagari" w:cs="Kohinoor Devanagari"/>
                <w:b/>
                <w:kern w:val="0"/>
                <w:sz w:val="22"/>
                <w:szCs w:val="22"/>
                <w:lang w:val="fr-FR" w:eastAsia="en-GB"/>
                <w14:ligatures w14:val="none"/>
              </w:rPr>
            </w:pPr>
            <w:r w:rsidRPr="00A3573B">
              <w:rPr>
                <w:rFonts w:ascii="Kohinoor Devanagari" w:eastAsia="Trebuchet MS" w:hAnsi="Kohinoor Devanagari" w:cs="Kohinoor Devanagari"/>
                <w:b/>
                <w:bCs/>
                <w:kern w:val="0"/>
                <w:sz w:val="22"/>
                <w:szCs w:val="22"/>
                <w:lang w:val="fr-FR" w:eastAsia="en-GB"/>
                <w14:ligatures w14:val="none"/>
              </w:rPr>
              <w:t>EITI</w:t>
            </w:r>
          </w:p>
        </w:tc>
        <w:tc>
          <w:tcPr>
            <w:tcW w:w="7968" w:type="dxa"/>
            <w:shd w:val="clear" w:color="auto" w:fill="D9F2D0" w:themeFill="accent6" w:themeFillTint="33"/>
            <w:hideMark/>
          </w:tcPr>
          <w:p w14:paraId="623AC64A" w14:textId="77777777" w:rsidR="00CA7D51" w:rsidRPr="00895E66" w:rsidRDefault="00CA7D51" w:rsidP="001B42A1">
            <w:pPr>
              <w:spacing w:before="60" w:after="60"/>
              <w:rPr>
                <w:rFonts w:ascii="Kohinoor Devanagari" w:eastAsia="Trebuchet MS" w:hAnsi="Kohinoor Devanagari" w:cs="Kohinoor Devanagari"/>
                <w:bCs/>
                <w:kern w:val="0"/>
                <w:sz w:val="22"/>
                <w:szCs w:val="22"/>
                <w:lang w:eastAsia="en-GB"/>
                <w14:ligatures w14:val="none"/>
              </w:rPr>
            </w:pPr>
            <w:r w:rsidRPr="00895E66">
              <w:rPr>
                <w:rFonts w:ascii="Kohinoor Devanagari" w:eastAsia="Trebuchet MS" w:hAnsi="Kohinoor Devanagari" w:cs="Kohinoor Devanagari"/>
                <w:bCs/>
                <w:kern w:val="0"/>
                <w:sz w:val="22"/>
                <w:szCs w:val="22"/>
                <w:lang w:eastAsia="en-GB"/>
                <w14:ligatures w14:val="none"/>
              </w:rPr>
              <w:t>Extractive Industries Transparency Initiative</w:t>
            </w:r>
          </w:p>
        </w:tc>
      </w:tr>
      <w:tr w:rsidR="00CA7D51" w:rsidRPr="00A3573B" w14:paraId="503455F3" w14:textId="77777777" w:rsidTr="00895E66">
        <w:tc>
          <w:tcPr>
            <w:tcW w:w="0" w:type="auto"/>
            <w:hideMark/>
          </w:tcPr>
          <w:p w14:paraId="402CE11A" w14:textId="77777777" w:rsidR="00CA7D51" w:rsidRPr="00A3573B" w:rsidRDefault="00CA7D51" w:rsidP="001B42A1">
            <w:pPr>
              <w:spacing w:before="60" w:after="60"/>
              <w:rPr>
                <w:rFonts w:ascii="Kohinoor Devanagari" w:eastAsia="Trebuchet MS" w:hAnsi="Kohinoor Devanagari" w:cs="Kohinoor Devanagari"/>
                <w:b/>
                <w:kern w:val="0"/>
                <w:sz w:val="22"/>
                <w:szCs w:val="22"/>
                <w:lang w:val="fr-FR" w:eastAsia="en-GB"/>
                <w14:ligatures w14:val="none"/>
              </w:rPr>
            </w:pPr>
            <w:r w:rsidRPr="00A3573B">
              <w:rPr>
                <w:rFonts w:ascii="Kohinoor Devanagari" w:eastAsia="Trebuchet MS" w:hAnsi="Kohinoor Devanagari" w:cs="Kohinoor Devanagari"/>
                <w:b/>
                <w:bCs/>
                <w:kern w:val="0"/>
                <w:sz w:val="22"/>
                <w:szCs w:val="22"/>
                <w:lang w:val="fr-FR" w:eastAsia="en-GB"/>
                <w14:ligatures w14:val="none"/>
              </w:rPr>
              <w:t>FBSA</w:t>
            </w:r>
          </w:p>
        </w:tc>
        <w:tc>
          <w:tcPr>
            <w:tcW w:w="7968" w:type="dxa"/>
            <w:hideMark/>
          </w:tcPr>
          <w:p w14:paraId="14C477CB" w14:textId="77777777" w:rsidR="00CA7D51" w:rsidRPr="00895E66" w:rsidRDefault="00CA7D51" w:rsidP="001B42A1">
            <w:pPr>
              <w:spacing w:before="60" w:after="60"/>
              <w:rPr>
                <w:rFonts w:ascii="Kohinoor Devanagari" w:eastAsia="Trebuchet MS" w:hAnsi="Kohinoor Devanagari" w:cs="Kohinoor Devanagari"/>
                <w:bCs/>
                <w:kern w:val="0"/>
                <w:sz w:val="22"/>
                <w:szCs w:val="22"/>
                <w:lang w:eastAsia="en-GB"/>
                <w14:ligatures w14:val="none"/>
              </w:rPr>
            </w:pPr>
            <w:r w:rsidRPr="00895E66">
              <w:rPr>
                <w:rFonts w:ascii="Kohinoor Devanagari" w:eastAsia="Trebuchet MS" w:hAnsi="Kohinoor Devanagari" w:cs="Kohinoor Devanagari"/>
                <w:bCs/>
                <w:kern w:val="0"/>
                <w:sz w:val="22"/>
                <w:szCs w:val="22"/>
                <w:lang w:eastAsia="en-GB"/>
                <w14:ligatures w14:val="none"/>
              </w:rPr>
              <w:t>Federal Board of Supreme Audit</w:t>
            </w:r>
          </w:p>
        </w:tc>
      </w:tr>
      <w:tr w:rsidR="00CA7D51" w:rsidRPr="00A3573B" w14:paraId="1AACAB29" w14:textId="77777777" w:rsidTr="00895E66">
        <w:tc>
          <w:tcPr>
            <w:tcW w:w="0" w:type="auto"/>
            <w:shd w:val="clear" w:color="auto" w:fill="D9F2D0" w:themeFill="accent6" w:themeFillTint="33"/>
            <w:hideMark/>
          </w:tcPr>
          <w:p w14:paraId="02D235C1" w14:textId="77777777" w:rsidR="00CA7D51" w:rsidRPr="00A3573B" w:rsidRDefault="00CA7D51" w:rsidP="001B42A1">
            <w:pPr>
              <w:spacing w:before="60" w:after="60"/>
              <w:rPr>
                <w:rFonts w:ascii="Kohinoor Devanagari" w:eastAsia="Trebuchet MS" w:hAnsi="Kohinoor Devanagari" w:cs="Kohinoor Devanagari"/>
                <w:b/>
                <w:kern w:val="0"/>
                <w:sz w:val="22"/>
                <w:szCs w:val="22"/>
                <w:lang w:val="fr-FR" w:eastAsia="en-GB"/>
                <w14:ligatures w14:val="none"/>
              </w:rPr>
            </w:pPr>
            <w:r w:rsidRPr="00A3573B">
              <w:rPr>
                <w:rFonts w:ascii="Kohinoor Devanagari" w:eastAsia="Trebuchet MS" w:hAnsi="Kohinoor Devanagari" w:cs="Kohinoor Devanagari"/>
                <w:b/>
                <w:bCs/>
                <w:kern w:val="0"/>
                <w:sz w:val="22"/>
                <w:szCs w:val="22"/>
                <w:lang w:val="fr-FR" w:eastAsia="en-GB"/>
                <w14:ligatures w14:val="none"/>
              </w:rPr>
              <w:t>IEITI</w:t>
            </w:r>
          </w:p>
        </w:tc>
        <w:tc>
          <w:tcPr>
            <w:tcW w:w="7968" w:type="dxa"/>
            <w:shd w:val="clear" w:color="auto" w:fill="D9F2D0" w:themeFill="accent6" w:themeFillTint="33"/>
            <w:hideMark/>
          </w:tcPr>
          <w:p w14:paraId="5564E4DC" w14:textId="77777777" w:rsidR="00CA7D51" w:rsidRPr="00895E66" w:rsidRDefault="00CA7D51" w:rsidP="001B42A1">
            <w:pPr>
              <w:spacing w:before="60" w:after="60"/>
              <w:rPr>
                <w:rFonts w:ascii="Kohinoor Devanagari" w:eastAsia="Trebuchet MS" w:hAnsi="Kohinoor Devanagari" w:cs="Kohinoor Devanagari"/>
                <w:bCs/>
                <w:kern w:val="0"/>
                <w:sz w:val="22"/>
                <w:szCs w:val="22"/>
                <w:lang w:eastAsia="en-GB"/>
                <w14:ligatures w14:val="none"/>
              </w:rPr>
            </w:pPr>
            <w:r w:rsidRPr="00895E66">
              <w:rPr>
                <w:rFonts w:ascii="Kohinoor Devanagari" w:eastAsia="Trebuchet MS" w:hAnsi="Kohinoor Devanagari" w:cs="Kohinoor Devanagari"/>
                <w:bCs/>
                <w:kern w:val="0"/>
                <w:sz w:val="22"/>
                <w:szCs w:val="22"/>
                <w:lang w:eastAsia="en-GB"/>
                <w14:ligatures w14:val="none"/>
              </w:rPr>
              <w:t>Iraq Extractive Industries Transparency Initiative</w:t>
            </w:r>
          </w:p>
        </w:tc>
      </w:tr>
      <w:tr w:rsidR="00CA7D51" w:rsidRPr="00A3573B" w14:paraId="2CAD5B71" w14:textId="77777777" w:rsidTr="00895E66">
        <w:tc>
          <w:tcPr>
            <w:tcW w:w="0" w:type="auto"/>
            <w:hideMark/>
          </w:tcPr>
          <w:p w14:paraId="6D2F0933" w14:textId="77777777" w:rsidR="00CA7D51" w:rsidRPr="00A3573B" w:rsidRDefault="00CA7D51" w:rsidP="001B42A1">
            <w:pPr>
              <w:spacing w:before="60" w:after="60"/>
              <w:rPr>
                <w:rFonts w:ascii="Kohinoor Devanagari" w:eastAsia="Trebuchet MS" w:hAnsi="Kohinoor Devanagari" w:cs="Kohinoor Devanagari"/>
                <w:b/>
                <w:kern w:val="0"/>
                <w:sz w:val="22"/>
                <w:szCs w:val="22"/>
                <w:lang w:val="fr-FR" w:eastAsia="en-GB"/>
                <w14:ligatures w14:val="none"/>
              </w:rPr>
            </w:pPr>
            <w:r w:rsidRPr="00A3573B">
              <w:rPr>
                <w:rFonts w:ascii="Kohinoor Devanagari" w:eastAsia="Trebuchet MS" w:hAnsi="Kohinoor Devanagari" w:cs="Kohinoor Devanagari"/>
                <w:b/>
                <w:bCs/>
                <w:kern w:val="0"/>
                <w:sz w:val="22"/>
                <w:szCs w:val="22"/>
                <w:lang w:val="fr-FR" w:eastAsia="en-GB"/>
                <w14:ligatures w14:val="none"/>
              </w:rPr>
              <w:t>INOC</w:t>
            </w:r>
          </w:p>
        </w:tc>
        <w:tc>
          <w:tcPr>
            <w:tcW w:w="7968" w:type="dxa"/>
            <w:hideMark/>
          </w:tcPr>
          <w:p w14:paraId="4080EA67" w14:textId="77777777" w:rsidR="00CA7D51" w:rsidRPr="00895E66" w:rsidRDefault="00CA7D51" w:rsidP="001B42A1">
            <w:pPr>
              <w:spacing w:before="60" w:after="60"/>
              <w:rPr>
                <w:rFonts w:ascii="Kohinoor Devanagari" w:eastAsia="Trebuchet MS" w:hAnsi="Kohinoor Devanagari" w:cs="Kohinoor Devanagari"/>
                <w:bCs/>
                <w:kern w:val="0"/>
                <w:sz w:val="22"/>
                <w:szCs w:val="22"/>
                <w:lang w:eastAsia="en-GB"/>
                <w14:ligatures w14:val="none"/>
              </w:rPr>
            </w:pPr>
            <w:r w:rsidRPr="00895E66">
              <w:rPr>
                <w:rFonts w:ascii="Kohinoor Devanagari" w:eastAsia="Trebuchet MS" w:hAnsi="Kohinoor Devanagari" w:cs="Kohinoor Devanagari"/>
                <w:bCs/>
                <w:kern w:val="0"/>
                <w:sz w:val="22"/>
                <w:szCs w:val="22"/>
                <w:lang w:eastAsia="en-GB"/>
                <w14:ligatures w14:val="none"/>
              </w:rPr>
              <w:t>Iraqi National Oil Company</w:t>
            </w:r>
          </w:p>
        </w:tc>
      </w:tr>
      <w:tr w:rsidR="00CA7D51" w:rsidRPr="00A3573B" w14:paraId="0024EFB1" w14:textId="77777777" w:rsidTr="00895E66">
        <w:tc>
          <w:tcPr>
            <w:tcW w:w="0" w:type="auto"/>
            <w:shd w:val="clear" w:color="auto" w:fill="D9F2D0" w:themeFill="accent6" w:themeFillTint="33"/>
            <w:hideMark/>
          </w:tcPr>
          <w:p w14:paraId="1199D8B8" w14:textId="77777777" w:rsidR="00CA7D51" w:rsidRPr="00A3573B" w:rsidRDefault="00CA7D51" w:rsidP="001B42A1">
            <w:pPr>
              <w:spacing w:before="60" w:after="60"/>
              <w:rPr>
                <w:rFonts w:ascii="Kohinoor Devanagari" w:eastAsia="Trebuchet MS" w:hAnsi="Kohinoor Devanagari" w:cs="Kohinoor Devanagari"/>
                <w:b/>
                <w:kern w:val="0"/>
                <w:sz w:val="22"/>
                <w:szCs w:val="22"/>
                <w:lang w:val="fr-FR" w:eastAsia="en-GB"/>
                <w14:ligatures w14:val="none"/>
              </w:rPr>
            </w:pPr>
            <w:r w:rsidRPr="00A3573B">
              <w:rPr>
                <w:rFonts w:ascii="Kohinoor Devanagari" w:eastAsia="Trebuchet MS" w:hAnsi="Kohinoor Devanagari" w:cs="Kohinoor Devanagari"/>
                <w:b/>
                <w:bCs/>
                <w:kern w:val="0"/>
                <w:sz w:val="22"/>
                <w:szCs w:val="22"/>
                <w:lang w:val="fr-FR" w:eastAsia="en-GB"/>
                <w14:ligatures w14:val="none"/>
              </w:rPr>
              <w:t>IOC</w:t>
            </w:r>
          </w:p>
        </w:tc>
        <w:tc>
          <w:tcPr>
            <w:tcW w:w="7968" w:type="dxa"/>
            <w:shd w:val="clear" w:color="auto" w:fill="D9F2D0" w:themeFill="accent6" w:themeFillTint="33"/>
            <w:hideMark/>
          </w:tcPr>
          <w:p w14:paraId="561BB614" w14:textId="77777777" w:rsidR="00CA7D51" w:rsidRPr="00895E66" w:rsidRDefault="00CA7D51" w:rsidP="001B42A1">
            <w:pPr>
              <w:spacing w:before="60" w:after="60"/>
              <w:rPr>
                <w:rFonts w:ascii="Kohinoor Devanagari" w:eastAsia="Trebuchet MS" w:hAnsi="Kohinoor Devanagari" w:cs="Kohinoor Devanagari"/>
                <w:bCs/>
                <w:kern w:val="0"/>
                <w:sz w:val="22"/>
                <w:szCs w:val="22"/>
                <w:lang w:eastAsia="en-GB"/>
                <w14:ligatures w14:val="none"/>
              </w:rPr>
            </w:pPr>
            <w:r w:rsidRPr="00895E66">
              <w:rPr>
                <w:rFonts w:ascii="Kohinoor Devanagari" w:eastAsia="Trebuchet MS" w:hAnsi="Kohinoor Devanagari" w:cs="Kohinoor Devanagari"/>
                <w:bCs/>
                <w:kern w:val="0"/>
                <w:sz w:val="22"/>
                <w:szCs w:val="22"/>
                <w:lang w:eastAsia="en-GB"/>
                <w14:ligatures w14:val="none"/>
              </w:rPr>
              <w:t>International Oil Company</w:t>
            </w:r>
          </w:p>
        </w:tc>
      </w:tr>
      <w:tr w:rsidR="00CA7D51" w:rsidRPr="00A3573B" w14:paraId="6BB85B69" w14:textId="77777777" w:rsidTr="00895E66">
        <w:tc>
          <w:tcPr>
            <w:tcW w:w="0" w:type="auto"/>
            <w:hideMark/>
          </w:tcPr>
          <w:p w14:paraId="08C28675" w14:textId="77777777" w:rsidR="00CA7D51" w:rsidRPr="00A3573B" w:rsidRDefault="00CA7D51" w:rsidP="001B42A1">
            <w:pPr>
              <w:spacing w:before="60" w:after="60"/>
              <w:rPr>
                <w:rFonts w:ascii="Kohinoor Devanagari" w:eastAsia="Trebuchet MS" w:hAnsi="Kohinoor Devanagari" w:cs="Kohinoor Devanagari"/>
                <w:b/>
                <w:kern w:val="0"/>
                <w:sz w:val="22"/>
                <w:szCs w:val="22"/>
                <w:lang w:val="fr-FR" w:eastAsia="en-GB"/>
                <w14:ligatures w14:val="none"/>
              </w:rPr>
            </w:pPr>
            <w:r w:rsidRPr="00A3573B">
              <w:rPr>
                <w:rFonts w:ascii="Kohinoor Devanagari" w:eastAsia="Trebuchet MS" w:hAnsi="Kohinoor Devanagari" w:cs="Kohinoor Devanagari"/>
                <w:b/>
                <w:bCs/>
                <w:kern w:val="0"/>
                <w:sz w:val="22"/>
                <w:szCs w:val="22"/>
                <w:lang w:val="fr-FR" w:eastAsia="en-GB"/>
                <w14:ligatures w14:val="none"/>
              </w:rPr>
              <w:t>KRG</w:t>
            </w:r>
          </w:p>
        </w:tc>
        <w:tc>
          <w:tcPr>
            <w:tcW w:w="7968" w:type="dxa"/>
            <w:hideMark/>
          </w:tcPr>
          <w:p w14:paraId="29ACF825" w14:textId="77777777" w:rsidR="00CA7D51" w:rsidRPr="00895E66" w:rsidRDefault="00CA7D51" w:rsidP="001B42A1">
            <w:pPr>
              <w:spacing w:before="60" w:after="60"/>
              <w:rPr>
                <w:rFonts w:ascii="Kohinoor Devanagari" w:eastAsia="Trebuchet MS" w:hAnsi="Kohinoor Devanagari" w:cs="Kohinoor Devanagari"/>
                <w:bCs/>
                <w:kern w:val="0"/>
                <w:sz w:val="22"/>
                <w:szCs w:val="22"/>
                <w:lang w:eastAsia="en-GB"/>
                <w14:ligatures w14:val="none"/>
              </w:rPr>
            </w:pPr>
            <w:r w:rsidRPr="00895E66">
              <w:rPr>
                <w:rFonts w:ascii="Kohinoor Devanagari" w:eastAsia="Trebuchet MS" w:hAnsi="Kohinoor Devanagari" w:cs="Kohinoor Devanagari"/>
                <w:bCs/>
                <w:kern w:val="0"/>
                <w:sz w:val="22"/>
                <w:szCs w:val="22"/>
                <w:lang w:eastAsia="en-GB"/>
                <w14:ligatures w14:val="none"/>
              </w:rPr>
              <w:t>Kurdistan Regional Government</w:t>
            </w:r>
          </w:p>
        </w:tc>
      </w:tr>
      <w:tr w:rsidR="00CA7D51" w:rsidRPr="00A3573B" w14:paraId="62481218" w14:textId="77777777" w:rsidTr="00895E66">
        <w:tc>
          <w:tcPr>
            <w:tcW w:w="0" w:type="auto"/>
            <w:shd w:val="clear" w:color="auto" w:fill="D9F2D0" w:themeFill="accent6" w:themeFillTint="33"/>
            <w:hideMark/>
          </w:tcPr>
          <w:p w14:paraId="1A97BF49" w14:textId="77777777" w:rsidR="00CA7D51" w:rsidRPr="00A3573B" w:rsidRDefault="00CA7D51" w:rsidP="001B42A1">
            <w:pPr>
              <w:spacing w:before="60" w:after="60"/>
              <w:rPr>
                <w:rFonts w:ascii="Kohinoor Devanagari" w:eastAsia="Trebuchet MS" w:hAnsi="Kohinoor Devanagari" w:cs="Kohinoor Devanagari"/>
                <w:b/>
                <w:kern w:val="0"/>
                <w:sz w:val="22"/>
                <w:szCs w:val="22"/>
                <w:lang w:val="fr-FR" w:eastAsia="en-GB"/>
                <w14:ligatures w14:val="none"/>
              </w:rPr>
            </w:pPr>
            <w:proofErr w:type="spellStart"/>
            <w:r w:rsidRPr="00A3573B">
              <w:rPr>
                <w:rFonts w:ascii="Kohinoor Devanagari" w:eastAsia="Trebuchet MS" w:hAnsi="Kohinoor Devanagari" w:cs="Kohinoor Devanagari"/>
                <w:b/>
                <w:bCs/>
                <w:kern w:val="0"/>
                <w:sz w:val="22"/>
                <w:szCs w:val="22"/>
                <w:lang w:val="fr-FR" w:eastAsia="en-GB"/>
                <w14:ligatures w14:val="none"/>
              </w:rPr>
              <w:t>MoF</w:t>
            </w:r>
            <w:proofErr w:type="spellEnd"/>
          </w:p>
        </w:tc>
        <w:tc>
          <w:tcPr>
            <w:tcW w:w="7968" w:type="dxa"/>
            <w:shd w:val="clear" w:color="auto" w:fill="D9F2D0" w:themeFill="accent6" w:themeFillTint="33"/>
            <w:hideMark/>
          </w:tcPr>
          <w:p w14:paraId="4A921BFA" w14:textId="77777777" w:rsidR="00CA7D51" w:rsidRPr="00895E66" w:rsidRDefault="00CA7D51" w:rsidP="001B42A1">
            <w:pPr>
              <w:spacing w:before="60" w:after="60"/>
              <w:rPr>
                <w:rFonts w:ascii="Kohinoor Devanagari" w:eastAsia="Trebuchet MS" w:hAnsi="Kohinoor Devanagari" w:cs="Kohinoor Devanagari"/>
                <w:bCs/>
                <w:kern w:val="0"/>
                <w:sz w:val="22"/>
                <w:szCs w:val="22"/>
                <w:lang w:eastAsia="en-GB"/>
                <w14:ligatures w14:val="none"/>
              </w:rPr>
            </w:pPr>
            <w:r w:rsidRPr="00895E66">
              <w:rPr>
                <w:rFonts w:ascii="Kohinoor Devanagari" w:eastAsia="Trebuchet MS" w:hAnsi="Kohinoor Devanagari" w:cs="Kohinoor Devanagari"/>
                <w:bCs/>
                <w:kern w:val="0"/>
                <w:sz w:val="22"/>
                <w:szCs w:val="22"/>
                <w:lang w:eastAsia="en-GB"/>
                <w14:ligatures w14:val="none"/>
              </w:rPr>
              <w:t>Ministry of Finance</w:t>
            </w:r>
          </w:p>
        </w:tc>
      </w:tr>
      <w:tr w:rsidR="00CA7D51" w:rsidRPr="00A3573B" w14:paraId="49A82D34" w14:textId="77777777" w:rsidTr="00895E66">
        <w:tc>
          <w:tcPr>
            <w:tcW w:w="0" w:type="auto"/>
            <w:hideMark/>
          </w:tcPr>
          <w:p w14:paraId="01EB1F7A" w14:textId="77777777" w:rsidR="00CA7D51" w:rsidRPr="00A3573B" w:rsidRDefault="00CA7D51" w:rsidP="001B42A1">
            <w:pPr>
              <w:spacing w:before="60" w:after="60"/>
              <w:rPr>
                <w:rFonts w:ascii="Kohinoor Devanagari" w:eastAsia="Trebuchet MS" w:hAnsi="Kohinoor Devanagari" w:cs="Kohinoor Devanagari"/>
                <w:b/>
                <w:kern w:val="0"/>
                <w:sz w:val="22"/>
                <w:szCs w:val="22"/>
                <w:lang w:val="fr-FR" w:eastAsia="en-GB"/>
                <w14:ligatures w14:val="none"/>
              </w:rPr>
            </w:pPr>
            <w:proofErr w:type="spellStart"/>
            <w:r w:rsidRPr="00A3573B">
              <w:rPr>
                <w:rFonts w:ascii="Kohinoor Devanagari" w:eastAsia="Trebuchet MS" w:hAnsi="Kohinoor Devanagari" w:cs="Kohinoor Devanagari"/>
                <w:b/>
                <w:bCs/>
                <w:kern w:val="0"/>
                <w:sz w:val="22"/>
                <w:szCs w:val="22"/>
                <w:lang w:val="fr-FR" w:eastAsia="en-GB"/>
                <w14:ligatures w14:val="none"/>
              </w:rPr>
              <w:t>MoO</w:t>
            </w:r>
            <w:proofErr w:type="spellEnd"/>
          </w:p>
        </w:tc>
        <w:tc>
          <w:tcPr>
            <w:tcW w:w="7968" w:type="dxa"/>
            <w:hideMark/>
          </w:tcPr>
          <w:p w14:paraId="34234F5B" w14:textId="77777777" w:rsidR="00CA7D51" w:rsidRPr="00895E66" w:rsidRDefault="00CA7D51" w:rsidP="001B42A1">
            <w:pPr>
              <w:spacing w:before="60" w:after="60"/>
              <w:rPr>
                <w:rFonts w:ascii="Kohinoor Devanagari" w:eastAsia="Trebuchet MS" w:hAnsi="Kohinoor Devanagari" w:cs="Kohinoor Devanagari"/>
                <w:bCs/>
                <w:kern w:val="0"/>
                <w:sz w:val="22"/>
                <w:szCs w:val="22"/>
                <w:lang w:eastAsia="en-GB"/>
                <w14:ligatures w14:val="none"/>
              </w:rPr>
            </w:pPr>
            <w:r w:rsidRPr="00895E66">
              <w:rPr>
                <w:rFonts w:ascii="Kohinoor Devanagari" w:eastAsia="Trebuchet MS" w:hAnsi="Kohinoor Devanagari" w:cs="Kohinoor Devanagari"/>
                <w:bCs/>
                <w:kern w:val="0"/>
                <w:sz w:val="22"/>
                <w:szCs w:val="22"/>
                <w:lang w:eastAsia="en-GB"/>
                <w14:ligatures w14:val="none"/>
              </w:rPr>
              <w:t>Ministry of Oil</w:t>
            </w:r>
          </w:p>
        </w:tc>
      </w:tr>
      <w:tr w:rsidR="00CA7D51" w:rsidRPr="00A3573B" w14:paraId="3629903A" w14:textId="77777777" w:rsidTr="00895E66">
        <w:tc>
          <w:tcPr>
            <w:tcW w:w="0" w:type="auto"/>
            <w:shd w:val="clear" w:color="auto" w:fill="D9F2D0" w:themeFill="accent6" w:themeFillTint="33"/>
            <w:hideMark/>
          </w:tcPr>
          <w:p w14:paraId="53DAF7E2" w14:textId="77777777" w:rsidR="00CA7D51" w:rsidRPr="00A3573B" w:rsidRDefault="00CA7D51" w:rsidP="001B42A1">
            <w:pPr>
              <w:spacing w:before="60" w:after="60"/>
              <w:rPr>
                <w:rFonts w:ascii="Kohinoor Devanagari" w:eastAsia="Trebuchet MS" w:hAnsi="Kohinoor Devanagari" w:cs="Kohinoor Devanagari"/>
                <w:b/>
                <w:kern w:val="0"/>
                <w:sz w:val="22"/>
                <w:szCs w:val="22"/>
                <w:lang w:val="fr-FR" w:eastAsia="en-GB"/>
                <w14:ligatures w14:val="none"/>
              </w:rPr>
            </w:pPr>
            <w:r w:rsidRPr="00A3573B">
              <w:rPr>
                <w:rFonts w:ascii="Kohinoor Devanagari" w:eastAsia="Trebuchet MS" w:hAnsi="Kohinoor Devanagari" w:cs="Kohinoor Devanagari"/>
                <w:b/>
                <w:bCs/>
                <w:kern w:val="0"/>
                <w:sz w:val="22"/>
                <w:szCs w:val="22"/>
                <w:lang w:val="fr-FR" w:eastAsia="en-GB"/>
                <w14:ligatures w14:val="none"/>
              </w:rPr>
              <w:t>MSG</w:t>
            </w:r>
          </w:p>
        </w:tc>
        <w:tc>
          <w:tcPr>
            <w:tcW w:w="7968" w:type="dxa"/>
            <w:shd w:val="clear" w:color="auto" w:fill="D9F2D0" w:themeFill="accent6" w:themeFillTint="33"/>
            <w:hideMark/>
          </w:tcPr>
          <w:p w14:paraId="12648AB2" w14:textId="77777777" w:rsidR="00CA7D51" w:rsidRPr="00895E66" w:rsidRDefault="00CA7D51" w:rsidP="001B42A1">
            <w:pPr>
              <w:spacing w:before="60" w:after="60"/>
              <w:rPr>
                <w:rFonts w:ascii="Kohinoor Devanagari" w:eastAsia="Trebuchet MS" w:hAnsi="Kohinoor Devanagari" w:cs="Kohinoor Devanagari"/>
                <w:bCs/>
                <w:kern w:val="0"/>
                <w:sz w:val="22"/>
                <w:szCs w:val="22"/>
                <w:lang w:eastAsia="en-GB"/>
                <w14:ligatures w14:val="none"/>
              </w:rPr>
            </w:pPr>
            <w:r w:rsidRPr="00895E66">
              <w:rPr>
                <w:rFonts w:ascii="Kohinoor Devanagari" w:eastAsia="Trebuchet MS" w:hAnsi="Kohinoor Devanagari" w:cs="Kohinoor Devanagari"/>
                <w:bCs/>
                <w:kern w:val="0"/>
                <w:sz w:val="22"/>
                <w:szCs w:val="22"/>
                <w:lang w:eastAsia="en-GB"/>
                <w14:ligatures w14:val="none"/>
              </w:rPr>
              <w:t>Multi-Stakeholder Group</w:t>
            </w:r>
          </w:p>
        </w:tc>
      </w:tr>
      <w:tr w:rsidR="00CA7D51" w:rsidRPr="00A3573B" w14:paraId="325FCC80" w14:textId="77777777" w:rsidTr="00895E66">
        <w:tc>
          <w:tcPr>
            <w:tcW w:w="0" w:type="auto"/>
            <w:hideMark/>
          </w:tcPr>
          <w:p w14:paraId="738ED86F" w14:textId="77777777" w:rsidR="00CA7D51" w:rsidRPr="00A3573B" w:rsidRDefault="00CA7D51" w:rsidP="001B42A1">
            <w:pPr>
              <w:spacing w:before="60" w:after="60"/>
              <w:rPr>
                <w:rFonts w:ascii="Kohinoor Devanagari" w:eastAsia="Trebuchet MS" w:hAnsi="Kohinoor Devanagari" w:cs="Kohinoor Devanagari"/>
                <w:b/>
                <w:kern w:val="0"/>
                <w:sz w:val="22"/>
                <w:szCs w:val="22"/>
                <w:lang w:val="fr-FR" w:eastAsia="en-GB"/>
                <w14:ligatures w14:val="none"/>
              </w:rPr>
            </w:pPr>
            <w:r w:rsidRPr="00A3573B">
              <w:rPr>
                <w:rFonts w:ascii="Kohinoor Devanagari" w:eastAsia="Trebuchet MS" w:hAnsi="Kohinoor Devanagari" w:cs="Kohinoor Devanagari"/>
                <w:b/>
                <w:bCs/>
                <w:kern w:val="0"/>
                <w:sz w:val="22"/>
                <w:szCs w:val="22"/>
                <w:lang w:val="fr-FR" w:eastAsia="en-GB"/>
                <w14:ligatures w14:val="none"/>
              </w:rPr>
              <w:t>NOC</w:t>
            </w:r>
          </w:p>
        </w:tc>
        <w:tc>
          <w:tcPr>
            <w:tcW w:w="7968" w:type="dxa"/>
            <w:hideMark/>
          </w:tcPr>
          <w:p w14:paraId="4A121295" w14:textId="77777777" w:rsidR="00CA7D51" w:rsidRPr="00895E66" w:rsidRDefault="00CA7D51" w:rsidP="001B42A1">
            <w:pPr>
              <w:spacing w:before="60" w:after="60"/>
              <w:rPr>
                <w:rFonts w:ascii="Kohinoor Devanagari" w:eastAsia="Trebuchet MS" w:hAnsi="Kohinoor Devanagari" w:cs="Kohinoor Devanagari"/>
                <w:bCs/>
                <w:kern w:val="0"/>
                <w:sz w:val="22"/>
                <w:szCs w:val="22"/>
                <w:lang w:eastAsia="en-GB"/>
                <w14:ligatures w14:val="none"/>
              </w:rPr>
            </w:pPr>
            <w:r w:rsidRPr="00895E66">
              <w:rPr>
                <w:rFonts w:ascii="Kohinoor Devanagari" w:eastAsia="Trebuchet MS" w:hAnsi="Kohinoor Devanagari" w:cs="Kohinoor Devanagari"/>
                <w:bCs/>
                <w:kern w:val="0"/>
                <w:sz w:val="22"/>
                <w:szCs w:val="22"/>
                <w:lang w:eastAsia="en-GB"/>
                <w14:ligatures w14:val="none"/>
              </w:rPr>
              <w:t>National Oil Company</w:t>
            </w:r>
          </w:p>
        </w:tc>
      </w:tr>
      <w:tr w:rsidR="00CA7D51" w:rsidRPr="00A3573B" w14:paraId="62DB6B00" w14:textId="77777777" w:rsidTr="00895E66">
        <w:tc>
          <w:tcPr>
            <w:tcW w:w="0" w:type="auto"/>
            <w:shd w:val="clear" w:color="auto" w:fill="D9F2D0" w:themeFill="accent6" w:themeFillTint="33"/>
            <w:hideMark/>
          </w:tcPr>
          <w:p w14:paraId="20351355" w14:textId="77777777" w:rsidR="00CA7D51" w:rsidRPr="00A3573B" w:rsidRDefault="00CA7D51" w:rsidP="001B42A1">
            <w:pPr>
              <w:spacing w:before="60" w:after="60"/>
              <w:rPr>
                <w:rFonts w:ascii="Kohinoor Devanagari" w:eastAsia="Trebuchet MS" w:hAnsi="Kohinoor Devanagari" w:cs="Kohinoor Devanagari"/>
                <w:b/>
                <w:kern w:val="0"/>
                <w:sz w:val="22"/>
                <w:szCs w:val="22"/>
                <w:lang w:val="fr-FR" w:eastAsia="en-GB"/>
                <w14:ligatures w14:val="none"/>
              </w:rPr>
            </w:pPr>
            <w:r w:rsidRPr="00A3573B">
              <w:rPr>
                <w:rFonts w:ascii="Kohinoor Devanagari" w:eastAsia="Trebuchet MS" w:hAnsi="Kohinoor Devanagari" w:cs="Kohinoor Devanagari"/>
                <w:b/>
                <w:bCs/>
                <w:kern w:val="0"/>
                <w:sz w:val="22"/>
                <w:szCs w:val="22"/>
                <w:lang w:val="fr-FR" w:eastAsia="en-GB"/>
                <w14:ligatures w14:val="none"/>
              </w:rPr>
              <w:t>OGRA</w:t>
            </w:r>
          </w:p>
        </w:tc>
        <w:tc>
          <w:tcPr>
            <w:tcW w:w="7968" w:type="dxa"/>
            <w:shd w:val="clear" w:color="auto" w:fill="D9F2D0" w:themeFill="accent6" w:themeFillTint="33"/>
            <w:hideMark/>
          </w:tcPr>
          <w:p w14:paraId="2F336CA3" w14:textId="77777777" w:rsidR="00CA7D51" w:rsidRPr="00895E66" w:rsidRDefault="00CA7D51" w:rsidP="001B42A1">
            <w:pPr>
              <w:spacing w:before="60" w:after="60"/>
              <w:rPr>
                <w:rFonts w:ascii="Kohinoor Devanagari" w:eastAsia="Trebuchet MS" w:hAnsi="Kohinoor Devanagari" w:cs="Kohinoor Devanagari"/>
                <w:bCs/>
                <w:kern w:val="0"/>
                <w:sz w:val="22"/>
                <w:szCs w:val="22"/>
                <w:lang w:eastAsia="en-GB"/>
                <w14:ligatures w14:val="none"/>
              </w:rPr>
            </w:pPr>
            <w:r w:rsidRPr="00895E66">
              <w:rPr>
                <w:rFonts w:ascii="Kohinoor Devanagari" w:eastAsia="Trebuchet MS" w:hAnsi="Kohinoor Devanagari" w:cs="Kohinoor Devanagari"/>
                <w:bCs/>
                <w:kern w:val="0"/>
                <w:sz w:val="22"/>
                <w:szCs w:val="22"/>
                <w:lang w:eastAsia="en-GB"/>
                <w14:ligatures w14:val="none"/>
              </w:rPr>
              <w:t>Oil and Gas Revenues Account</w:t>
            </w:r>
          </w:p>
        </w:tc>
      </w:tr>
      <w:tr w:rsidR="00CA7D51" w:rsidRPr="00A3573B" w14:paraId="4CB329C9" w14:textId="77777777" w:rsidTr="00895E66">
        <w:tc>
          <w:tcPr>
            <w:tcW w:w="0" w:type="auto"/>
            <w:hideMark/>
          </w:tcPr>
          <w:p w14:paraId="16A4CB46" w14:textId="77777777" w:rsidR="00CA7D51" w:rsidRPr="00A3573B" w:rsidRDefault="00CA7D51" w:rsidP="001B42A1">
            <w:pPr>
              <w:spacing w:before="60" w:after="60"/>
              <w:rPr>
                <w:rFonts w:ascii="Kohinoor Devanagari" w:eastAsia="Trebuchet MS" w:hAnsi="Kohinoor Devanagari" w:cs="Kohinoor Devanagari"/>
                <w:b/>
                <w:kern w:val="0"/>
                <w:sz w:val="22"/>
                <w:szCs w:val="22"/>
                <w:lang w:val="fr-FR" w:eastAsia="en-GB"/>
                <w14:ligatures w14:val="none"/>
              </w:rPr>
            </w:pPr>
            <w:r w:rsidRPr="00A3573B">
              <w:rPr>
                <w:rFonts w:ascii="Kohinoor Devanagari" w:eastAsia="Trebuchet MS" w:hAnsi="Kohinoor Devanagari" w:cs="Kohinoor Devanagari"/>
                <w:b/>
                <w:bCs/>
                <w:kern w:val="0"/>
                <w:sz w:val="22"/>
                <w:szCs w:val="22"/>
                <w:lang w:val="fr-FR" w:eastAsia="en-GB"/>
                <w14:ligatures w14:val="none"/>
              </w:rPr>
              <w:t>PFM</w:t>
            </w:r>
          </w:p>
        </w:tc>
        <w:tc>
          <w:tcPr>
            <w:tcW w:w="7968" w:type="dxa"/>
            <w:hideMark/>
          </w:tcPr>
          <w:p w14:paraId="4B1701F6" w14:textId="77777777" w:rsidR="00CA7D51" w:rsidRPr="00895E66" w:rsidRDefault="00CA7D51" w:rsidP="001B42A1">
            <w:pPr>
              <w:spacing w:before="60" w:after="60"/>
              <w:rPr>
                <w:rFonts w:ascii="Kohinoor Devanagari" w:eastAsia="Trebuchet MS" w:hAnsi="Kohinoor Devanagari" w:cs="Kohinoor Devanagari"/>
                <w:bCs/>
                <w:kern w:val="0"/>
                <w:sz w:val="22"/>
                <w:szCs w:val="22"/>
                <w:lang w:eastAsia="en-GB"/>
                <w14:ligatures w14:val="none"/>
              </w:rPr>
            </w:pPr>
            <w:r w:rsidRPr="00895E66">
              <w:rPr>
                <w:rFonts w:ascii="Kohinoor Devanagari" w:eastAsia="Trebuchet MS" w:hAnsi="Kohinoor Devanagari" w:cs="Kohinoor Devanagari"/>
                <w:bCs/>
                <w:kern w:val="0"/>
                <w:sz w:val="22"/>
                <w:szCs w:val="22"/>
                <w:lang w:eastAsia="en-GB"/>
                <w14:ligatures w14:val="none"/>
              </w:rPr>
              <w:t>Public Financial Management</w:t>
            </w:r>
          </w:p>
        </w:tc>
      </w:tr>
      <w:tr w:rsidR="00CA7D51" w:rsidRPr="00A3573B" w14:paraId="16FF4309" w14:textId="77777777" w:rsidTr="00895E66">
        <w:tc>
          <w:tcPr>
            <w:tcW w:w="0" w:type="auto"/>
            <w:shd w:val="clear" w:color="auto" w:fill="D9F2D0" w:themeFill="accent6" w:themeFillTint="33"/>
            <w:hideMark/>
          </w:tcPr>
          <w:p w14:paraId="1056E1AF" w14:textId="77777777" w:rsidR="00CA7D51" w:rsidRPr="00A3573B" w:rsidRDefault="00CA7D51" w:rsidP="001B42A1">
            <w:pPr>
              <w:spacing w:before="60" w:after="60"/>
              <w:rPr>
                <w:rFonts w:ascii="Kohinoor Devanagari" w:eastAsia="Trebuchet MS" w:hAnsi="Kohinoor Devanagari" w:cs="Kohinoor Devanagari"/>
                <w:b/>
                <w:kern w:val="0"/>
                <w:sz w:val="22"/>
                <w:szCs w:val="22"/>
                <w:lang w:val="fr-FR" w:eastAsia="en-GB"/>
                <w14:ligatures w14:val="none"/>
              </w:rPr>
            </w:pPr>
            <w:r w:rsidRPr="00A3573B">
              <w:rPr>
                <w:rFonts w:ascii="Kohinoor Devanagari" w:eastAsia="Trebuchet MS" w:hAnsi="Kohinoor Devanagari" w:cs="Kohinoor Devanagari"/>
                <w:b/>
                <w:bCs/>
                <w:kern w:val="0"/>
                <w:sz w:val="22"/>
                <w:szCs w:val="22"/>
                <w:lang w:val="fr-FR" w:eastAsia="en-GB"/>
                <w14:ligatures w14:val="none"/>
              </w:rPr>
              <w:t>RTI</w:t>
            </w:r>
          </w:p>
        </w:tc>
        <w:tc>
          <w:tcPr>
            <w:tcW w:w="7968" w:type="dxa"/>
            <w:shd w:val="clear" w:color="auto" w:fill="D9F2D0" w:themeFill="accent6" w:themeFillTint="33"/>
            <w:hideMark/>
          </w:tcPr>
          <w:p w14:paraId="701CABFF" w14:textId="77777777" w:rsidR="00CA7D51" w:rsidRPr="00895E66" w:rsidRDefault="00CA7D51" w:rsidP="001B42A1">
            <w:pPr>
              <w:spacing w:before="60" w:after="60"/>
              <w:rPr>
                <w:rFonts w:ascii="Kohinoor Devanagari" w:eastAsia="Trebuchet MS" w:hAnsi="Kohinoor Devanagari" w:cs="Kohinoor Devanagari"/>
                <w:bCs/>
                <w:kern w:val="0"/>
                <w:sz w:val="22"/>
                <w:szCs w:val="22"/>
                <w:lang w:eastAsia="en-GB"/>
                <w14:ligatures w14:val="none"/>
              </w:rPr>
            </w:pPr>
            <w:r w:rsidRPr="00895E66">
              <w:rPr>
                <w:rFonts w:ascii="Kohinoor Devanagari" w:eastAsia="Trebuchet MS" w:hAnsi="Kohinoor Devanagari" w:cs="Kohinoor Devanagari"/>
                <w:bCs/>
                <w:kern w:val="0"/>
                <w:sz w:val="22"/>
                <w:szCs w:val="22"/>
                <w:lang w:eastAsia="en-GB"/>
                <w14:ligatures w14:val="none"/>
              </w:rPr>
              <w:t>Right to Information</w:t>
            </w:r>
          </w:p>
        </w:tc>
      </w:tr>
      <w:tr w:rsidR="00CA7D51" w:rsidRPr="00A3573B" w14:paraId="5C9C3DE7" w14:textId="77777777" w:rsidTr="00895E66">
        <w:tc>
          <w:tcPr>
            <w:tcW w:w="0" w:type="auto"/>
            <w:hideMark/>
          </w:tcPr>
          <w:p w14:paraId="59BB6B3D" w14:textId="77777777" w:rsidR="00CA7D51" w:rsidRPr="00A3573B" w:rsidRDefault="00CA7D51" w:rsidP="001B42A1">
            <w:pPr>
              <w:spacing w:before="60" w:after="60"/>
              <w:rPr>
                <w:rFonts w:ascii="Kohinoor Devanagari" w:eastAsia="Trebuchet MS" w:hAnsi="Kohinoor Devanagari" w:cs="Kohinoor Devanagari"/>
                <w:b/>
                <w:kern w:val="0"/>
                <w:sz w:val="22"/>
                <w:szCs w:val="22"/>
                <w:lang w:val="fr-FR" w:eastAsia="en-GB"/>
                <w14:ligatures w14:val="none"/>
              </w:rPr>
            </w:pPr>
            <w:r w:rsidRPr="00A3573B">
              <w:rPr>
                <w:rFonts w:ascii="Kohinoor Devanagari" w:eastAsia="Trebuchet MS" w:hAnsi="Kohinoor Devanagari" w:cs="Kohinoor Devanagari"/>
                <w:b/>
                <w:bCs/>
                <w:kern w:val="0"/>
                <w:sz w:val="22"/>
                <w:szCs w:val="22"/>
                <w:lang w:val="fr-FR" w:eastAsia="en-GB"/>
                <w14:ligatures w14:val="none"/>
              </w:rPr>
              <w:t>SOE</w:t>
            </w:r>
          </w:p>
        </w:tc>
        <w:tc>
          <w:tcPr>
            <w:tcW w:w="7968" w:type="dxa"/>
            <w:hideMark/>
          </w:tcPr>
          <w:p w14:paraId="060DDB21" w14:textId="77777777" w:rsidR="00CA7D51" w:rsidRPr="00895E66" w:rsidRDefault="00CA7D51" w:rsidP="001B42A1">
            <w:pPr>
              <w:spacing w:before="60" w:after="60"/>
              <w:rPr>
                <w:rFonts w:ascii="Kohinoor Devanagari" w:eastAsia="Trebuchet MS" w:hAnsi="Kohinoor Devanagari" w:cs="Kohinoor Devanagari"/>
                <w:bCs/>
                <w:kern w:val="0"/>
                <w:sz w:val="22"/>
                <w:szCs w:val="22"/>
                <w:lang w:eastAsia="en-GB"/>
                <w14:ligatures w14:val="none"/>
              </w:rPr>
            </w:pPr>
            <w:r w:rsidRPr="00895E66">
              <w:rPr>
                <w:rFonts w:ascii="Kohinoor Devanagari" w:eastAsia="Trebuchet MS" w:hAnsi="Kohinoor Devanagari" w:cs="Kohinoor Devanagari"/>
                <w:bCs/>
                <w:kern w:val="0"/>
                <w:sz w:val="22"/>
                <w:szCs w:val="22"/>
                <w:lang w:eastAsia="en-GB"/>
                <w14:ligatures w14:val="none"/>
              </w:rPr>
              <w:t>State-Owned Enterprise</w:t>
            </w:r>
          </w:p>
        </w:tc>
      </w:tr>
      <w:tr w:rsidR="00CA7D51" w:rsidRPr="00A3573B" w14:paraId="1FDBB38D" w14:textId="77777777" w:rsidTr="00895E66">
        <w:tc>
          <w:tcPr>
            <w:tcW w:w="0" w:type="auto"/>
            <w:shd w:val="clear" w:color="auto" w:fill="D9F2D0" w:themeFill="accent6" w:themeFillTint="33"/>
            <w:hideMark/>
          </w:tcPr>
          <w:p w14:paraId="70FFBA9B" w14:textId="77777777" w:rsidR="00CA7D51" w:rsidRPr="00A3573B" w:rsidRDefault="00CA7D51" w:rsidP="001B42A1">
            <w:pPr>
              <w:spacing w:before="60" w:after="60"/>
              <w:rPr>
                <w:rFonts w:ascii="Kohinoor Devanagari" w:eastAsia="Trebuchet MS" w:hAnsi="Kohinoor Devanagari" w:cs="Kohinoor Devanagari"/>
                <w:b/>
                <w:kern w:val="0"/>
                <w:sz w:val="22"/>
                <w:szCs w:val="22"/>
                <w:lang w:val="fr-FR" w:eastAsia="en-GB"/>
                <w14:ligatures w14:val="none"/>
              </w:rPr>
            </w:pPr>
            <w:r w:rsidRPr="00A3573B">
              <w:rPr>
                <w:rFonts w:ascii="Kohinoor Devanagari" w:eastAsia="Trebuchet MS" w:hAnsi="Kohinoor Devanagari" w:cs="Kohinoor Devanagari"/>
                <w:b/>
                <w:bCs/>
                <w:kern w:val="0"/>
                <w:sz w:val="22"/>
                <w:szCs w:val="22"/>
                <w:lang w:val="fr-FR" w:eastAsia="en-GB"/>
                <w14:ligatures w14:val="none"/>
              </w:rPr>
              <w:t>SOMO</w:t>
            </w:r>
          </w:p>
        </w:tc>
        <w:tc>
          <w:tcPr>
            <w:tcW w:w="7968" w:type="dxa"/>
            <w:shd w:val="clear" w:color="auto" w:fill="D9F2D0" w:themeFill="accent6" w:themeFillTint="33"/>
            <w:hideMark/>
          </w:tcPr>
          <w:p w14:paraId="1DA6B789" w14:textId="77777777" w:rsidR="00CA7D51" w:rsidRPr="00895E66" w:rsidRDefault="00CA7D51" w:rsidP="001B42A1">
            <w:pPr>
              <w:spacing w:before="60" w:after="60"/>
              <w:rPr>
                <w:rFonts w:ascii="Kohinoor Devanagari" w:eastAsia="Trebuchet MS" w:hAnsi="Kohinoor Devanagari" w:cs="Kohinoor Devanagari"/>
                <w:bCs/>
                <w:kern w:val="0"/>
                <w:sz w:val="22"/>
                <w:szCs w:val="22"/>
                <w:lang w:eastAsia="en-GB"/>
                <w14:ligatures w14:val="none"/>
              </w:rPr>
            </w:pPr>
            <w:r w:rsidRPr="00895E66">
              <w:rPr>
                <w:rFonts w:ascii="Kohinoor Devanagari" w:eastAsia="Trebuchet MS" w:hAnsi="Kohinoor Devanagari" w:cs="Kohinoor Devanagari"/>
                <w:bCs/>
                <w:kern w:val="0"/>
                <w:sz w:val="22"/>
                <w:szCs w:val="22"/>
                <w:lang w:eastAsia="en-GB"/>
                <w14:ligatures w14:val="none"/>
              </w:rPr>
              <w:t>State Oil Marketing Organization</w:t>
            </w:r>
          </w:p>
        </w:tc>
      </w:tr>
      <w:tr w:rsidR="00CA7D51" w:rsidRPr="00A3573B" w14:paraId="4F0ABB88" w14:textId="77777777" w:rsidTr="00BA1B05">
        <w:trPr>
          <w:trHeight w:val="544"/>
        </w:trPr>
        <w:tc>
          <w:tcPr>
            <w:tcW w:w="0" w:type="auto"/>
            <w:hideMark/>
          </w:tcPr>
          <w:p w14:paraId="4A83E537" w14:textId="77777777" w:rsidR="00CA7D51" w:rsidRPr="006F0788" w:rsidRDefault="00CA7D51" w:rsidP="001B42A1">
            <w:pPr>
              <w:spacing w:before="60" w:after="60"/>
              <w:rPr>
                <w:rFonts w:ascii="Kohinoor Devanagari" w:eastAsia="Trebuchet MS" w:hAnsi="Kohinoor Devanagari" w:cs="Kohinoor Devanagari"/>
                <w:b/>
                <w:bCs/>
                <w:kern w:val="0"/>
                <w:sz w:val="22"/>
                <w:szCs w:val="22"/>
                <w:lang w:val="fr-FR" w:eastAsia="en-GB"/>
                <w14:ligatures w14:val="none"/>
              </w:rPr>
            </w:pPr>
            <w:proofErr w:type="spellStart"/>
            <w:r w:rsidRPr="00A3573B">
              <w:rPr>
                <w:rFonts w:ascii="Kohinoor Devanagari" w:eastAsia="Trebuchet MS" w:hAnsi="Kohinoor Devanagari" w:cs="Kohinoor Devanagari"/>
                <w:b/>
                <w:bCs/>
                <w:kern w:val="0"/>
                <w:sz w:val="22"/>
                <w:szCs w:val="22"/>
                <w:lang w:val="fr-FR" w:eastAsia="en-GB"/>
                <w14:ligatures w14:val="none"/>
              </w:rPr>
              <w:t>ToR</w:t>
            </w:r>
            <w:proofErr w:type="spellEnd"/>
          </w:p>
        </w:tc>
        <w:tc>
          <w:tcPr>
            <w:tcW w:w="7968" w:type="dxa"/>
            <w:hideMark/>
          </w:tcPr>
          <w:p w14:paraId="2E3BCBE7" w14:textId="30CD2C72" w:rsidR="00786A9D" w:rsidRDefault="00CA7D51" w:rsidP="00BA1B05">
            <w:pPr>
              <w:spacing w:before="60" w:after="60"/>
              <w:rPr>
                <w:rFonts w:ascii="Kohinoor Devanagari" w:eastAsia="Trebuchet MS" w:hAnsi="Kohinoor Devanagari" w:cs="Kohinoor Devanagari"/>
                <w:bCs/>
                <w:kern w:val="0"/>
                <w:sz w:val="22"/>
                <w:szCs w:val="22"/>
                <w:lang w:eastAsia="en-GB"/>
                <w14:ligatures w14:val="none"/>
              </w:rPr>
            </w:pPr>
            <w:r w:rsidRPr="00895E66">
              <w:rPr>
                <w:rFonts w:ascii="Kohinoor Devanagari" w:eastAsia="Trebuchet MS" w:hAnsi="Kohinoor Devanagari" w:cs="Kohinoor Devanagari"/>
                <w:bCs/>
                <w:kern w:val="0"/>
                <w:sz w:val="22"/>
                <w:szCs w:val="22"/>
                <w:lang w:eastAsia="en-GB"/>
                <w14:ligatures w14:val="none"/>
              </w:rPr>
              <w:t>Terms of Reference</w:t>
            </w:r>
          </w:p>
          <w:p w14:paraId="40FD4346" w14:textId="77777777" w:rsidR="00786A9D" w:rsidRPr="00895E66" w:rsidRDefault="00786A9D" w:rsidP="001B42A1">
            <w:pPr>
              <w:spacing w:before="60" w:after="60"/>
              <w:rPr>
                <w:rFonts w:ascii="Kohinoor Devanagari" w:eastAsia="Trebuchet MS" w:hAnsi="Kohinoor Devanagari" w:cs="Kohinoor Devanagari"/>
                <w:bCs/>
                <w:kern w:val="0"/>
                <w:sz w:val="22"/>
                <w:szCs w:val="22"/>
                <w:lang w:eastAsia="en-GB"/>
                <w14:ligatures w14:val="none"/>
              </w:rPr>
            </w:pPr>
          </w:p>
        </w:tc>
      </w:tr>
      <w:tr w:rsidR="00382FE9" w:rsidRPr="00A3573B" w14:paraId="003B5F98" w14:textId="77777777" w:rsidTr="00BA1B05">
        <w:tc>
          <w:tcPr>
            <w:tcW w:w="0" w:type="auto"/>
            <w:shd w:val="clear" w:color="auto" w:fill="D9F2D0" w:themeFill="accent6" w:themeFillTint="33"/>
          </w:tcPr>
          <w:p w14:paraId="7E463280" w14:textId="1ED33F86" w:rsidR="00382FE9" w:rsidRPr="00A3573B" w:rsidRDefault="00BA1B05" w:rsidP="001B42A1">
            <w:pPr>
              <w:spacing w:before="60" w:after="60"/>
              <w:rPr>
                <w:rFonts w:ascii="Kohinoor Devanagari" w:eastAsia="Trebuchet MS" w:hAnsi="Kohinoor Devanagari" w:cs="Kohinoor Devanagari"/>
                <w:b/>
                <w:bCs/>
                <w:kern w:val="0"/>
                <w:sz w:val="22"/>
                <w:szCs w:val="22"/>
                <w:lang w:val="fr-FR" w:eastAsia="en-GB"/>
                <w14:ligatures w14:val="none"/>
              </w:rPr>
            </w:pPr>
            <w:r>
              <w:rPr>
                <w:rFonts w:ascii="Kohinoor Devanagari" w:eastAsia="Trebuchet MS" w:hAnsi="Kohinoor Devanagari" w:cs="Kohinoor Devanagari"/>
                <w:b/>
                <w:bCs/>
                <w:kern w:val="0"/>
                <w:sz w:val="22"/>
                <w:szCs w:val="22"/>
                <w:lang w:val="fr-FR" w:eastAsia="en-GB"/>
                <w14:ligatures w14:val="none"/>
              </w:rPr>
              <w:t>NRTC</w:t>
            </w:r>
          </w:p>
        </w:tc>
        <w:tc>
          <w:tcPr>
            <w:tcW w:w="7968" w:type="dxa"/>
            <w:shd w:val="clear" w:color="auto" w:fill="D9F2D0" w:themeFill="accent6" w:themeFillTint="33"/>
          </w:tcPr>
          <w:p w14:paraId="660C4837" w14:textId="672214B2" w:rsidR="00382FE9" w:rsidRPr="00895E66" w:rsidRDefault="00F170D5" w:rsidP="001B42A1">
            <w:pPr>
              <w:spacing w:before="60" w:after="60"/>
              <w:rPr>
                <w:rFonts w:ascii="Kohinoor Devanagari" w:eastAsia="Trebuchet MS" w:hAnsi="Kohinoor Devanagari" w:cs="Kohinoor Devanagari"/>
                <w:bCs/>
                <w:kern w:val="0"/>
                <w:sz w:val="22"/>
                <w:szCs w:val="22"/>
                <w:lang w:eastAsia="en-GB"/>
                <w14:ligatures w14:val="none"/>
              </w:rPr>
            </w:pPr>
            <w:r w:rsidRPr="00F170D5">
              <w:rPr>
                <w:rFonts w:ascii="Kohinoor Devanagari" w:eastAsia="Trebuchet MS" w:hAnsi="Kohinoor Devanagari" w:cs="Kohinoor Devanagari"/>
                <w:bCs/>
                <w:kern w:val="0"/>
                <w:sz w:val="22"/>
                <w:szCs w:val="22"/>
                <w:lang w:eastAsia="en-GB"/>
                <w14:ligatures w14:val="none"/>
              </w:rPr>
              <w:t>Natural Resources Transparency Commission</w:t>
            </w:r>
          </w:p>
        </w:tc>
      </w:tr>
      <w:tr w:rsidR="006F0788" w:rsidRPr="00A3573B" w14:paraId="52203FDF" w14:textId="77777777" w:rsidTr="00895E66">
        <w:tc>
          <w:tcPr>
            <w:tcW w:w="0" w:type="auto"/>
          </w:tcPr>
          <w:p w14:paraId="155AF044" w14:textId="77777777" w:rsidR="006F0788" w:rsidRPr="00A3573B" w:rsidRDefault="006F0788" w:rsidP="001B42A1">
            <w:pPr>
              <w:spacing w:before="60" w:after="60"/>
              <w:rPr>
                <w:rFonts w:ascii="Kohinoor Devanagari" w:eastAsia="Trebuchet MS" w:hAnsi="Kohinoor Devanagari" w:cs="Kohinoor Devanagari"/>
                <w:b/>
                <w:bCs/>
                <w:kern w:val="0"/>
                <w:sz w:val="22"/>
                <w:szCs w:val="22"/>
                <w:lang w:val="fr-FR" w:eastAsia="en-GB"/>
                <w14:ligatures w14:val="none"/>
              </w:rPr>
            </w:pPr>
          </w:p>
        </w:tc>
        <w:tc>
          <w:tcPr>
            <w:tcW w:w="7968" w:type="dxa"/>
          </w:tcPr>
          <w:p w14:paraId="5CC0238A" w14:textId="77777777" w:rsidR="006F0788" w:rsidRPr="00895E66" w:rsidRDefault="006F0788" w:rsidP="001B42A1">
            <w:pPr>
              <w:spacing w:before="60" w:after="60"/>
              <w:rPr>
                <w:rFonts w:ascii="Kohinoor Devanagari" w:eastAsia="Trebuchet MS" w:hAnsi="Kohinoor Devanagari" w:cs="Kohinoor Devanagari"/>
                <w:bCs/>
                <w:kern w:val="0"/>
                <w:sz w:val="22"/>
                <w:szCs w:val="22"/>
                <w:lang w:eastAsia="en-GB"/>
                <w14:ligatures w14:val="none"/>
              </w:rPr>
            </w:pPr>
          </w:p>
        </w:tc>
      </w:tr>
    </w:tbl>
    <w:p w14:paraId="0EB2BF71" w14:textId="77777777" w:rsidR="00CA7D51" w:rsidRPr="00A3573B" w:rsidRDefault="00CA7D51" w:rsidP="002E77A2">
      <w:pPr>
        <w:spacing w:after="240" w:line="240" w:lineRule="auto"/>
        <w:rPr>
          <w:rFonts w:ascii="Kohinoor Devanagari" w:eastAsia="Trebuchet MS" w:hAnsi="Kohinoor Devanagari" w:cs="Kohinoor Devanagari"/>
          <w:b/>
          <w:color w:val="61BC4D"/>
          <w:kern w:val="0"/>
          <w:lang w:eastAsia="en-GB"/>
          <w14:ligatures w14:val="none"/>
        </w:rPr>
      </w:pPr>
    </w:p>
    <w:bookmarkEnd w:id="2"/>
    <w:p w14:paraId="061E4B84" w14:textId="77777777" w:rsidR="002E77A2" w:rsidRPr="00A3573B" w:rsidRDefault="002E77A2" w:rsidP="002E77A2">
      <w:pPr>
        <w:rPr>
          <w:rFonts w:ascii="Kohinoor Devanagari" w:hAnsi="Kohinoor Devanagari" w:cs="Kohinoor Devanagari"/>
          <w:lang w:val="fr-FR" w:eastAsia="fr-FR"/>
        </w:rPr>
      </w:pPr>
    </w:p>
    <w:p w14:paraId="5343C31F" w14:textId="77777777" w:rsidR="002E77A2" w:rsidRPr="00A3573B" w:rsidRDefault="002E77A2" w:rsidP="002E77A2">
      <w:pPr>
        <w:rPr>
          <w:rFonts w:ascii="Kohinoor Devanagari" w:hAnsi="Kohinoor Devanagari" w:cs="Kohinoor Devanagari"/>
          <w:lang w:val="fr-FR" w:eastAsia="fr-FR"/>
        </w:rPr>
      </w:pPr>
    </w:p>
    <w:p w14:paraId="69A150A1" w14:textId="77777777" w:rsidR="002E77A2" w:rsidRPr="00A3573B" w:rsidRDefault="002E77A2" w:rsidP="002E77A2">
      <w:pPr>
        <w:rPr>
          <w:rFonts w:ascii="Kohinoor Devanagari" w:hAnsi="Kohinoor Devanagari" w:cs="Kohinoor Devanagari"/>
          <w:lang w:val="fr-FR" w:eastAsia="fr-FR"/>
        </w:rPr>
      </w:pPr>
    </w:p>
    <w:p w14:paraId="065202FC" w14:textId="3602CDFB" w:rsidR="00D13032" w:rsidRPr="00A3573B" w:rsidRDefault="00586E1E" w:rsidP="00C33FCF">
      <w:pPr>
        <w:pStyle w:val="Heading1"/>
        <w:shd w:val="clear" w:color="auto" w:fill="61BC4D"/>
        <w:spacing w:before="120" w:after="120" w:line="240" w:lineRule="auto"/>
        <w:ind w:left="567" w:hanging="567"/>
        <w:jc w:val="both"/>
        <w:rPr>
          <w:rFonts w:ascii="Kohinoor Devanagari" w:hAnsi="Kohinoor Devanagari" w:cs="Kohinoor Devanagari"/>
          <w:b/>
          <w:color w:val="FFFFFF" w:themeColor="background1"/>
          <w:kern w:val="0"/>
          <w:sz w:val="22"/>
          <w:szCs w:val="22"/>
          <w14:ligatures w14:val="none"/>
        </w:rPr>
      </w:pPr>
      <w:bookmarkStart w:id="3" w:name="_Toc194240147"/>
      <w:r>
        <w:rPr>
          <w:rFonts w:ascii="Kohinoor Devanagari" w:hAnsi="Kohinoor Devanagari" w:cs="Kohinoor Devanagari"/>
          <w:b/>
          <w:color w:val="FFFFFF" w:themeColor="background1"/>
          <w:kern w:val="0"/>
          <w:sz w:val="22"/>
          <w:szCs w:val="22"/>
          <w14:ligatures w14:val="none"/>
        </w:rPr>
        <w:lastRenderedPageBreak/>
        <w:t>1</w:t>
      </w:r>
      <w:r w:rsidR="00D13032" w:rsidRPr="00A3573B">
        <w:rPr>
          <w:rFonts w:ascii="Kohinoor Devanagari" w:hAnsi="Kohinoor Devanagari" w:cs="Kohinoor Devanagari"/>
          <w:b/>
          <w:color w:val="FFFFFF" w:themeColor="background1"/>
          <w:kern w:val="0"/>
          <w:sz w:val="22"/>
          <w:szCs w:val="22"/>
          <w14:ligatures w14:val="none"/>
        </w:rPr>
        <w:t>. Introduction</w:t>
      </w:r>
      <w:bookmarkEnd w:id="3"/>
    </w:p>
    <w:p w14:paraId="1349318D" w14:textId="4607F001" w:rsidR="00D13032" w:rsidRPr="00A3573B" w:rsidRDefault="00D13032" w:rsidP="00FD2B68">
      <w:pPr>
        <w:pStyle w:val="Heading2"/>
        <w:numPr>
          <w:ilvl w:val="1"/>
          <w:numId w:val="73"/>
        </w:numPr>
        <w:spacing w:before="120" w:after="120" w:line="240" w:lineRule="auto"/>
        <w:ind w:left="426" w:hanging="426"/>
        <w:jc w:val="both"/>
        <w:rPr>
          <w:rFonts w:ascii="Kohinoor Devanagari" w:hAnsi="Kohinoor Devanagari" w:cs="Kohinoor Devanagari"/>
          <w:b/>
          <w:bCs/>
          <w:sz w:val="22"/>
          <w:szCs w:val="22"/>
        </w:rPr>
      </w:pPr>
      <w:bookmarkStart w:id="4" w:name="_Toc194240148"/>
      <w:r w:rsidRPr="00A3573B">
        <w:rPr>
          <w:rFonts w:ascii="Kohinoor Devanagari" w:hAnsi="Kohinoor Devanagari" w:cs="Kohinoor Devanagari"/>
          <w:b/>
          <w:bCs/>
          <w:sz w:val="22"/>
          <w:szCs w:val="22"/>
        </w:rPr>
        <w:t>Background and context of systematic disclosure</w:t>
      </w:r>
      <w:bookmarkEnd w:id="4"/>
    </w:p>
    <w:p w14:paraId="77AB7843" w14:textId="77777777" w:rsidR="00917DB7" w:rsidRPr="00A3573B" w:rsidRDefault="00917DB7"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Iraq, as one of the world’s largest oil-producing countries, relies heavily on revenues from the extractive sector to support its economy and public services. Given the sector’s critical role, ensuring transparency and accountability in the management of extractive resources is vital to promote sustainable economic development, combat corruption, and build public trust.</w:t>
      </w:r>
    </w:p>
    <w:p w14:paraId="0831A9AA" w14:textId="77777777" w:rsidR="00917DB7" w:rsidRDefault="00917DB7"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To address these challenges, Iraq has committed to the Extractive Industries Transparency Initiative (EITI), aligning its reporting and governance practices with international transparency standards. The EITI Standard 2023 provides a comprehensive framework for systematic disclosure of extractive sector data, covering aspects such as revenue collection, contract transparency, state participation, and environmental impacts.</w:t>
      </w:r>
    </w:p>
    <w:p w14:paraId="238DE769" w14:textId="6E209263" w:rsidR="00FC1596" w:rsidRPr="00A3573B" w:rsidRDefault="00FC1596" w:rsidP="00FC1596">
      <w:pPr>
        <w:spacing w:before="120" w:after="120" w:line="240" w:lineRule="auto"/>
        <w:jc w:val="both"/>
        <w:rPr>
          <w:rFonts w:ascii="Kohinoor Devanagari" w:hAnsi="Kohinoor Devanagari" w:cs="Kohinoor Devanagari"/>
          <w:sz w:val="22"/>
          <w:szCs w:val="22"/>
          <w:lang w:eastAsia="en-GB"/>
        </w:rPr>
      </w:pPr>
      <w:r w:rsidRPr="00FC1596">
        <w:rPr>
          <w:rFonts w:ascii="Kohinoor Devanagari" w:hAnsi="Kohinoor Devanagari" w:cs="Kohinoor Devanagari"/>
          <w:sz w:val="22"/>
          <w:szCs w:val="22"/>
          <w:lang w:eastAsia="en-GB"/>
        </w:rPr>
        <w:t>In recent years, Iraq has made tangible progress in advancing systematic disclosure. Notably, the financial statements of key state-owned enterprises (SOEs) have been published, and the State Oil Marketing Organization (SOMO) has begun disclosing detailed information on crude oil sales. These efforts contribute significantly to improving the availability of reliable data and fostering public oversight.</w:t>
      </w:r>
    </w:p>
    <w:p w14:paraId="74469407" w14:textId="39E2AEE1" w:rsidR="00917DB7" w:rsidRPr="00A3573B" w:rsidRDefault="00FC1596" w:rsidP="00FC1596">
      <w:pPr>
        <w:spacing w:before="120" w:after="120" w:line="240" w:lineRule="auto"/>
        <w:jc w:val="both"/>
        <w:rPr>
          <w:rFonts w:ascii="Kohinoor Devanagari" w:hAnsi="Kohinoor Devanagari" w:cs="Kohinoor Devanagari"/>
          <w:sz w:val="22"/>
          <w:szCs w:val="22"/>
          <w:lang w:eastAsia="en-GB"/>
        </w:rPr>
      </w:pPr>
      <w:r>
        <w:rPr>
          <w:rFonts w:ascii="Kohinoor Devanagari" w:hAnsi="Kohinoor Devanagari" w:cs="Kohinoor Devanagari"/>
          <w:sz w:val="22"/>
          <w:szCs w:val="22"/>
          <w:lang w:eastAsia="en-GB"/>
        </w:rPr>
        <w:t>However</w:t>
      </w:r>
      <w:r w:rsidR="00917DB7" w:rsidRPr="00A3573B">
        <w:rPr>
          <w:rFonts w:ascii="Kohinoor Devanagari" w:hAnsi="Kohinoor Devanagari" w:cs="Kohinoor Devanagari"/>
          <w:sz w:val="22"/>
          <w:szCs w:val="22"/>
          <w:lang w:eastAsia="en-GB"/>
        </w:rPr>
        <w:t xml:space="preserve">, </w:t>
      </w:r>
      <w:r>
        <w:rPr>
          <w:rFonts w:ascii="Kohinoor Devanagari" w:hAnsi="Kohinoor Devanagari" w:cs="Kohinoor Devanagari"/>
          <w:sz w:val="22"/>
          <w:szCs w:val="22"/>
          <w:lang w:eastAsia="en-GB"/>
        </w:rPr>
        <w:t>c</w:t>
      </w:r>
      <w:r w:rsidRPr="00FC1596">
        <w:rPr>
          <w:rFonts w:ascii="Kohinoor Devanagari" w:hAnsi="Kohinoor Devanagari" w:cs="Kohinoor Devanagari"/>
          <w:sz w:val="22"/>
          <w:szCs w:val="22"/>
          <w:lang w:eastAsia="en-GB"/>
        </w:rPr>
        <w:t>hallenges persist regarding the accessibility, timeliness, and integration of data across government entities, SOEs, and international oil companies (IOCs)</w:t>
      </w:r>
      <w:r w:rsidR="00917DB7" w:rsidRPr="00A3573B">
        <w:rPr>
          <w:rFonts w:ascii="Kohinoor Devanagari" w:hAnsi="Kohinoor Devanagari" w:cs="Kohinoor Devanagari"/>
          <w:sz w:val="22"/>
          <w:szCs w:val="22"/>
          <w:lang w:eastAsia="en-GB"/>
        </w:rPr>
        <w:t>. The need for a structured and systematic approach to data disclosure is paramount to enhance public understanding, policy formulation, and decision-making in the extractive sector.</w:t>
      </w:r>
    </w:p>
    <w:p w14:paraId="52A9D65D" w14:textId="77777777" w:rsidR="00917DB7" w:rsidRPr="00A3573B" w:rsidRDefault="00917DB7"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This report aims to provide a detailed diagnostic of Iraq’s current systematic disclosure landscape and propose a policy framework that ensures compliance with EITI requirements and enhances data usability for all stakeholders.</w:t>
      </w:r>
    </w:p>
    <w:p w14:paraId="79FEA3F1" w14:textId="77777777" w:rsidR="00D13032" w:rsidRPr="00A3573B" w:rsidRDefault="00D13032" w:rsidP="00FD2B68">
      <w:pPr>
        <w:pStyle w:val="Heading2"/>
        <w:numPr>
          <w:ilvl w:val="1"/>
          <w:numId w:val="73"/>
        </w:numPr>
        <w:spacing w:before="120" w:after="120" w:line="240" w:lineRule="auto"/>
        <w:ind w:left="426" w:hanging="426"/>
        <w:jc w:val="both"/>
        <w:rPr>
          <w:rFonts w:ascii="Kohinoor Devanagari" w:hAnsi="Kohinoor Devanagari" w:cs="Kohinoor Devanagari"/>
          <w:b/>
          <w:bCs/>
          <w:sz w:val="22"/>
          <w:szCs w:val="22"/>
        </w:rPr>
      </w:pPr>
      <w:bookmarkStart w:id="5" w:name="_Toc194240149"/>
      <w:r w:rsidRPr="00A3573B">
        <w:rPr>
          <w:rFonts w:ascii="Kohinoor Devanagari" w:hAnsi="Kohinoor Devanagari" w:cs="Kohinoor Devanagari"/>
          <w:b/>
          <w:bCs/>
          <w:sz w:val="22"/>
          <w:szCs w:val="22"/>
        </w:rPr>
        <w:t>Purpose and scope of the report</w:t>
      </w:r>
      <w:bookmarkEnd w:id="5"/>
    </w:p>
    <w:p w14:paraId="46A8F4AB" w14:textId="1FEC7B23" w:rsidR="00A535B2" w:rsidRPr="00A3573B" w:rsidRDefault="00A535B2"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The purpose of this report is to assess Iraq’s existing disclosure practices in the extractive sector and provide actionable recommendations for developing a systematic disclosure policy. The report focuses on the following key objectives:</w:t>
      </w:r>
    </w:p>
    <w:p w14:paraId="5ABF2860" w14:textId="77777777" w:rsidR="00A535B2" w:rsidRPr="00A3573B" w:rsidRDefault="00A535B2" w:rsidP="00230210">
      <w:pPr>
        <w:numPr>
          <w:ilvl w:val="0"/>
          <w:numId w:val="1"/>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Evaluation of Current Disclosure Practices:</w:t>
      </w:r>
      <w:r w:rsidRPr="00A3573B">
        <w:rPr>
          <w:rFonts w:ascii="Kohinoor Devanagari" w:hAnsi="Kohinoor Devanagari" w:cs="Kohinoor Devanagari"/>
          <w:sz w:val="22"/>
          <w:szCs w:val="22"/>
          <w:lang w:eastAsia="en-GB"/>
        </w:rPr>
        <w:t xml:space="preserve"> Assessing the extent to which Iraq’s extractive sector data is disclosed in accordance with the EITI Standard 2023.</w:t>
      </w:r>
    </w:p>
    <w:p w14:paraId="727CC60F" w14:textId="77777777" w:rsidR="00A535B2" w:rsidRPr="00A3573B" w:rsidRDefault="00A535B2" w:rsidP="00230210">
      <w:pPr>
        <w:numPr>
          <w:ilvl w:val="0"/>
          <w:numId w:val="1"/>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Identification of Gaps and Challenges:</w:t>
      </w:r>
      <w:r w:rsidRPr="00A3573B">
        <w:rPr>
          <w:rFonts w:ascii="Kohinoor Devanagari" w:hAnsi="Kohinoor Devanagari" w:cs="Kohinoor Devanagari"/>
          <w:sz w:val="22"/>
          <w:szCs w:val="22"/>
          <w:lang w:eastAsia="en-GB"/>
        </w:rPr>
        <w:t xml:space="preserve"> Analyzing legal, institutional, and technical barriers to effective data disclosure.</w:t>
      </w:r>
    </w:p>
    <w:p w14:paraId="37C72FD3" w14:textId="77777777" w:rsidR="00A535B2" w:rsidRPr="00A3573B" w:rsidRDefault="00A535B2" w:rsidP="00230210">
      <w:pPr>
        <w:numPr>
          <w:ilvl w:val="0"/>
          <w:numId w:val="1"/>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lastRenderedPageBreak/>
        <w:t>Stakeholder Engagement:</w:t>
      </w:r>
      <w:r w:rsidRPr="00A3573B">
        <w:rPr>
          <w:rFonts w:ascii="Kohinoor Devanagari" w:hAnsi="Kohinoor Devanagari" w:cs="Kohinoor Devanagari"/>
          <w:sz w:val="22"/>
          <w:szCs w:val="22"/>
          <w:lang w:eastAsia="en-GB"/>
        </w:rPr>
        <w:t xml:space="preserve"> Gathering insights from key stakeholders, including government entities, SOEs, IOCs, civil society organizations, and development partners.</w:t>
      </w:r>
    </w:p>
    <w:p w14:paraId="6F828D96" w14:textId="77777777" w:rsidR="00A535B2" w:rsidRPr="00A3573B" w:rsidRDefault="00A535B2" w:rsidP="00230210">
      <w:pPr>
        <w:numPr>
          <w:ilvl w:val="0"/>
          <w:numId w:val="1"/>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Policy Recommendations:</w:t>
      </w:r>
      <w:r w:rsidRPr="00A3573B">
        <w:rPr>
          <w:rFonts w:ascii="Kohinoor Devanagari" w:hAnsi="Kohinoor Devanagari" w:cs="Kohinoor Devanagari"/>
          <w:sz w:val="22"/>
          <w:szCs w:val="22"/>
          <w:lang w:eastAsia="en-GB"/>
        </w:rPr>
        <w:t xml:space="preserve"> Providing strategic directions to formalize systematic disclosure and improve data governance in Iraq.</w:t>
      </w:r>
    </w:p>
    <w:p w14:paraId="3441B663" w14:textId="6110C1C8" w:rsidR="00A535B2" w:rsidRPr="00A3573B" w:rsidRDefault="00A535B2"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The scope of the report covers a wide range of disclosure themes, including legal and fiscal frameworks, contract transparency, beneficial ownership, revenue flows, and environmental and social impacts. The analysis considers both national regulatory frameworks and international best practices.</w:t>
      </w:r>
    </w:p>
    <w:p w14:paraId="38E45DD2" w14:textId="77777777" w:rsidR="00D13032" w:rsidRPr="00A3573B" w:rsidRDefault="00D13032" w:rsidP="00FD2B68">
      <w:pPr>
        <w:pStyle w:val="Heading2"/>
        <w:numPr>
          <w:ilvl w:val="1"/>
          <w:numId w:val="73"/>
        </w:numPr>
        <w:spacing w:before="120" w:after="120" w:line="240" w:lineRule="auto"/>
        <w:ind w:left="426" w:hanging="426"/>
        <w:jc w:val="both"/>
        <w:rPr>
          <w:rFonts w:ascii="Kohinoor Devanagari" w:hAnsi="Kohinoor Devanagari" w:cs="Kohinoor Devanagari"/>
          <w:b/>
          <w:bCs/>
          <w:sz w:val="22"/>
          <w:szCs w:val="22"/>
        </w:rPr>
      </w:pPr>
      <w:bookmarkStart w:id="6" w:name="_Toc194240150"/>
      <w:r w:rsidRPr="00A3573B">
        <w:rPr>
          <w:rFonts w:ascii="Kohinoor Devanagari" w:hAnsi="Kohinoor Devanagari" w:cs="Kohinoor Devanagari"/>
          <w:b/>
          <w:bCs/>
          <w:sz w:val="22"/>
          <w:szCs w:val="22"/>
        </w:rPr>
        <w:t>Methodology and data sources</w:t>
      </w:r>
      <w:bookmarkEnd w:id="6"/>
    </w:p>
    <w:p w14:paraId="68F8CB99" w14:textId="77777777" w:rsidR="00A535B2" w:rsidRPr="00A3573B" w:rsidRDefault="00A535B2"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The report adopts a multi-faceted methodological approach to provide a comprehensive analysis of Iraq’s systematic disclosure landscape. The methodology includes:</w:t>
      </w:r>
    </w:p>
    <w:p w14:paraId="2BA78992" w14:textId="77777777" w:rsidR="00A535B2" w:rsidRPr="00A3573B" w:rsidRDefault="00A535B2" w:rsidP="00230210">
      <w:pPr>
        <w:numPr>
          <w:ilvl w:val="0"/>
          <w:numId w:val="2"/>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Desk Review:</w:t>
      </w:r>
      <w:r w:rsidRPr="00A3573B">
        <w:rPr>
          <w:rFonts w:ascii="Kohinoor Devanagari" w:hAnsi="Kohinoor Devanagari" w:cs="Kohinoor Devanagari"/>
          <w:sz w:val="22"/>
          <w:szCs w:val="22"/>
          <w:lang w:eastAsia="en-GB"/>
        </w:rPr>
        <w:t xml:space="preserve"> A thorough review of Iraq’s legal and regulatory frameworks, existing disclosure practices, and EITI reports to identify key gaps and areas for improvement.</w:t>
      </w:r>
    </w:p>
    <w:p w14:paraId="55556979" w14:textId="0EB36CDD" w:rsidR="00A535B2" w:rsidRPr="00A3573B" w:rsidRDefault="00A535B2" w:rsidP="00230210">
      <w:pPr>
        <w:numPr>
          <w:ilvl w:val="0"/>
          <w:numId w:val="2"/>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Stakeholder Consultations:</w:t>
      </w:r>
      <w:r w:rsidRPr="00A3573B">
        <w:rPr>
          <w:rFonts w:ascii="Kohinoor Devanagari" w:hAnsi="Kohinoor Devanagari" w:cs="Kohinoor Devanagari"/>
          <w:sz w:val="22"/>
          <w:szCs w:val="22"/>
          <w:lang w:eastAsia="en-GB"/>
        </w:rPr>
        <w:t xml:space="preserve"> Structured engagements with data providers (government entities, SOEs, and IOCs) and data users (civil society, and development partners) through surveys and interviews to gather perspectives on disclosure needs and challenges.</w:t>
      </w:r>
    </w:p>
    <w:p w14:paraId="48BC3314" w14:textId="77777777" w:rsidR="00A535B2" w:rsidRPr="00A3573B" w:rsidRDefault="00A535B2" w:rsidP="00230210">
      <w:pPr>
        <w:numPr>
          <w:ilvl w:val="0"/>
          <w:numId w:val="2"/>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Comparative Analysis:</w:t>
      </w:r>
      <w:r w:rsidRPr="00A3573B">
        <w:rPr>
          <w:rFonts w:ascii="Kohinoor Devanagari" w:hAnsi="Kohinoor Devanagari" w:cs="Kohinoor Devanagari"/>
          <w:sz w:val="22"/>
          <w:szCs w:val="22"/>
          <w:lang w:eastAsia="en-GB"/>
        </w:rPr>
        <w:t xml:space="preserve"> Benchmarking Iraq’s disclosure practices against those of other EITI-compliant countries to identify potential lessons and opportunities for enhancement.</w:t>
      </w:r>
    </w:p>
    <w:p w14:paraId="6C633729" w14:textId="6D34BE18" w:rsidR="00D13032" w:rsidRPr="00A3573B" w:rsidRDefault="00917DB7"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Primary data sources include stakeholder responses, government reports, and industry data, while secondary sources consist of international reports, policy documents, and case studies from other EITI-implementing countries.</w:t>
      </w:r>
    </w:p>
    <w:p w14:paraId="2BF01223" w14:textId="277F2710" w:rsidR="00D13032" w:rsidRPr="00A3573B" w:rsidRDefault="00D13032" w:rsidP="00FA21AC">
      <w:pPr>
        <w:pStyle w:val="Heading2"/>
        <w:numPr>
          <w:ilvl w:val="1"/>
          <w:numId w:val="73"/>
        </w:numPr>
        <w:spacing w:before="120" w:after="120" w:line="240" w:lineRule="auto"/>
        <w:ind w:left="426" w:hanging="426"/>
        <w:jc w:val="both"/>
        <w:rPr>
          <w:rFonts w:ascii="Kohinoor Devanagari" w:hAnsi="Kohinoor Devanagari" w:cs="Kohinoor Devanagari"/>
          <w:b/>
          <w:bCs/>
          <w:sz w:val="22"/>
          <w:szCs w:val="22"/>
        </w:rPr>
      </w:pPr>
      <w:bookmarkStart w:id="7" w:name="_Toc194240151"/>
      <w:r w:rsidRPr="00A3573B">
        <w:rPr>
          <w:rFonts w:ascii="Kohinoor Devanagari" w:hAnsi="Kohinoor Devanagari" w:cs="Kohinoor Devanagari"/>
          <w:b/>
          <w:bCs/>
          <w:sz w:val="22"/>
          <w:szCs w:val="22"/>
        </w:rPr>
        <w:t>Structure of the report</w:t>
      </w:r>
      <w:bookmarkEnd w:id="7"/>
    </w:p>
    <w:p w14:paraId="5AA592B8" w14:textId="77777777" w:rsidR="00A535B2" w:rsidRPr="00A3573B" w:rsidRDefault="00A535B2" w:rsidP="00C33FCF">
      <w:p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sz w:val="22"/>
          <w:szCs w:val="22"/>
        </w:rPr>
        <w:t>This report is structured into the following key sections:</w:t>
      </w:r>
    </w:p>
    <w:p w14:paraId="1CFA757D" w14:textId="77777777" w:rsidR="00A535B2" w:rsidRPr="00A3573B" w:rsidRDefault="00A535B2" w:rsidP="00230210">
      <w:pPr>
        <w:numPr>
          <w:ilvl w:val="0"/>
          <w:numId w:val="3"/>
        </w:numPr>
        <w:spacing w:before="120" w:after="120" w:line="240" w:lineRule="auto"/>
        <w:ind w:left="714" w:hanging="357"/>
        <w:jc w:val="both"/>
        <w:rPr>
          <w:rFonts w:ascii="Kohinoor Devanagari" w:hAnsi="Kohinoor Devanagari" w:cs="Kohinoor Devanagari"/>
          <w:sz w:val="22"/>
          <w:szCs w:val="22"/>
        </w:rPr>
      </w:pPr>
      <w:r w:rsidRPr="00A3573B">
        <w:rPr>
          <w:rFonts w:ascii="Kohinoor Devanagari" w:hAnsi="Kohinoor Devanagari" w:cs="Kohinoor Devanagari"/>
          <w:b/>
          <w:bCs/>
          <w:sz w:val="22"/>
          <w:szCs w:val="22"/>
        </w:rPr>
        <w:t>Executive Summary:</w:t>
      </w:r>
      <w:r w:rsidRPr="00A3573B">
        <w:rPr>
          <w:rFonts w:ascii="Kohinoor Devanagari" w:hAnsi="Kohinoor Devanagari" w:cs="Kohinoor Devanagari"/>
          <w:sz w:val="22"/>
          <w:szCs w:val="22"/>
        </w:rPr>
        <w:t xml:space="preserve"> A concise summary of key findings, challenges, and recommendations.</w:t>
      </w:r>
    </w:p>
    <w:p w14:paraId="7CD4C9C9" w14:textId="77777777" w:rsidR="000D5358" w:rsidRPr="00A3573B" w:rsidRDefault="000D5358" w:rsidP="00230210">
      <w:pPr>
        <w:numPr>
          <w:ilvl w:val="0"/>
          <w:numId w:val="3"/>
        </w:numPr>
        <w:spacing w:before="120" w:after="120" w:line="240" w:lineRule="auto"/>
        <w:ind w:left="714" w:hanging="357"/>
        <w:jc w:val="both"/>
        <w:rPr>
          <w:rFonts w:ascii="Kohinoor Devanagari" w:hAnsi="Kohinoor Devanagari" w:cs="Kohinoor Devanagari"/>
          <w:sz w:val="22"/>
          <w:szCs w:val="22"/>
        </w:rPr>
      </w:pPr>
      <w:r w:rsidRPr="00A3573B">
        <w:rPr>
          <w:rFonts w:ascii="Kohinoor Devanagari" w:hAnsi="Kohinoor Devanagari" w:cs="Kohinoor Devanagari"/>
          <w:b/>
          <w:bCs/>
          <w:sz w:val="22"/>
          <w:szCs w:val="22"/>
        </w:rPr>
        <w:t>Review of Existing Policies:</w:t>
      </w:r>
      <w:r w:rsidRPr="00A3573B">
        <w:rPr>
          <w:rFonts w:ascii="Kohinoor Devanagari" w:hAnsi="Kohinoor Devanagari" w:cs="Kohinoor Devanagari"/>
          <w:sz w:val="22"/>
          <w:szCs w:val="22"/>
        </w:rPr>
        <w:t xml:space="preserve"> An evaluation of Iraq’s legal and institutional landscape governing disclosure.</w:t>
      </w:r>
    </w:p>
    <w:p w14:paraId="4F79EB51" w14:textId="77777777" w:rsidR="00A535B2" w:rsidRPr="00A3573B" w:rsidRDefault="00A535B2" w:rsidP="00230210">
      <w:pPr>
        <w:numPr>
          <w:ilvl w:val="0"/>
          <w:numId w:val="3"/>
        </w:numPr>
        <w:spacing w:before="120" w:after="120" w:line="240" w:lineRule="auto"/>
        <w:ind w:left="714" w:hanging="357"/>
        <w:jc w:val="both"/>
        <w:rPr>
          <w:rFonts w:ascii="Kohinoor Devanagari" w:hAnsi="Kohinoor Devanagari" w:cs="Kohinoor Devanagari"/>
          <w:sz w:val="22"/>
          <w:szCs w:val="22"/>
        </w:rPr>
      </w:pPr>
      <w:r w:rsidRPr="00A3573B">
        <w:rPr>
          <w:rFonts w:ascii="Kohinoor Devanagari" w:hAnsi="Kohinoor Devanagari" w:cs="Kohinoor Devanagari"/>
          <w:b/>
          <w:bCs/>
          <w:sz w:val="22"/>
          <w:szCs w:val="22"/>
        </w:rPr>
        <w:t>Current State of Systematic Disclosure:</w:t>
      </w:r>
      <w:r w:rsidRPr="00A3573B">
        <w:rPr>
          <w:rFonts w:ascii="Kohinoor Devanagari" w:hAnsi="Kohinoor Devanagari" w:cs="Kohinoor Devanagari"/>
          <w:sz w:val="22"/>
          <w:szCs w:val="22"/>
        </w:rPr>
        <w:t xml:space="preserve"> An analysis of Iraq’s existing disclosure frameworks and practices.</w:t>
      </w:r>
    </w:p>
    <w:p w14:paraId="33F22A84" w14:textId="77777777" w:rsidR="00A535B2" w:rsidRPr="00A3573B" w:rsidRDefault="00A535B2" w:rsidP="00230210">
      <w:pPr>
        <w:numPr>
          <w:ilvl w:val="0"/>
          <w:numId w:val="3"/>
        </w:numPr>
        <w:spacing w:before="120" w:after="120" w:line="240" w:lineRule="auto"/>
        <w:ind w:left="714" w:hanging="357"/>
        <w:jc w:val="both"/>
        <w:rPr>
          <w:rFonts w:ascii="Kohinoor Devanagari" w:hAnsi="Kohinoor Devanagari" w:cs="Kohinoor Devanagari"/>
          <w:sz w:val="22"/>
          <w:szCs w:val="22"/>
        </w:rPr>
      </w:pPr>
      <w:r w:rsidRPr="00A3573B">
        <w:rPr>
          <w:rFonts w:ascii="Kohinoor Devanagari" w:hAnsi="Kohinoor Devanagari" w:cs="Kohinoor Devanagari"/>
          <w:b/>
          <w:bCs/>
          <w:sz w:val="22"/>
          <w:szCs w:val="22"/>
        </w:rPr>
        <w:lastRenderedPageBreak/>
        <w:t>Constraints and Challenges:</w:t>
      </w:r>
      <w:r w:rsidRPr="00A3573B">
        <w:rPr>
          <w:rFonts w:ascii="Kohinoor Devanagari" w:hAnsi="Kohinoor Devanagari" w:cs="Kohinoor Devanagari"/>
          <w:sz w:val="22"/>
          <w:szCs w:val="22"/>
        </w:rPr>
        <w:t xml:space="preserve"> An examination of key barriers to effective disclosure.</w:t>
      </w:r>
    </w:p>
    <w:p w14:paraId="69BBB3B7" w14:textId="77777777" w:rsidR="00A535B2" w:rsidRPr="00A3573B" w:rsidRDefault="00A535B2" w:rsidP="00230210">
      <w:pPr>
        <w:numPr>
          <w:ilvl w:val="0"/>
          <w:numId w:val="3"/>
        </w:numPr>
        <w:spacing w:before="120" w:after="120" w:line="240" w:lineRule="auto"/>
        <w:ind w:left="714" w:hanging="357"/>
        <w:jc w:val="both"/>
        <w:rPr>
          <w:rFonts w:ascii="Kohinoor Devanagari" w:hAnsi="Kohinoor Devanagari" w:cs="Kohinoor Devanagari"/>
          <w:sz w:val="22"/>
          <w:szCs w:val="22"/>
        </w:rPr>
      </w:pPr>
      <w:r w:rsidRPr="00A3573B">
        <w:rPr>
          <w:rFonts w:ascii="Kohinoor Devanagari" w:hAnsi="Kohinoor Devanagari" w:cs="Kohinoor Devanagari"/>
          <w:b/>
          <w:bCs/>
          <w:sz w:val="22"/>
          <w:szCs w:val="22"/>
        </w:rPr>
        <w:t>Development of Systematic Disclosure Policy:</w:t>
      </w:r>
      <w:r w:rsidRPr="00A3573B">
        <w:rPr>
          <w:rFonts w:ascii="Kohinoor Devanagari" w:hAnsi="Kohinoor Devanagari" w:cs="Kohinoor Devanagari"/>
          <w:sz w:val="22"/>
          <w:szCs w:val="22"/>
        </w:rPr>
        <w:t xml:space="preserve"> A proposed framework for enhancing disclosure practices.</w:t>
      </w:r>
    </w:p>
    <w:p w14:paraId="1BB88585" w14:textId="77777777" w:rsidR="00A535B2" w:rsidRPr="00A3573B" w:rsidRDefault="00A535B2" w:rsidP="00230210">
      <w:pPr>
        <w:numPr>
          <w:ilvl w:val="0"/>
          <w:numId w:val="3"/>
        </w:numPr>
        <w:spacing w:before="120" w:after="120" w:line="240" w:lineRule="auto"/>
        <w:ind w:left="714" w:hanging="357"/>
        <w:jc w:val="both"/>
        <w:rPr>
          <w:rFonts w:ascii="Kohinoor Devanagari" w:hAnsi="Kohinoor Devanagari" w:cs="Kohinoor Devanagari"/>
          <w:sz w:val="22"/>
          <w:szCs w:val="22"/>
        </w:rPr>
      </w:pPr>
      <w:r w:rsidRPr="00A3573B">
        <w:rPr>
          <w:rFonts w:ascii="Kohinoor Devanagari" w:hAnsi="Kohinoor Devanagari" w:cs="Kohinoor Devanagari"/>
          <w:b/>
          <w:bCs/>
          <w:sz w:val="22"/>
          <w:szCs w:val="22"/>
        </w:rPr>
        <w:t>Conclusion and Next Steps:</w:t>
      </w:r>
      <w:r w:rsidRPr="00A3573B">
        <w:rPr>
          <w:rFonts w:ascii="Kohinoor Devanagari" w:hAnsi="Kohinoor Devanagari" w:cs="Kohinoor Devanagari"/>
          <w:sz w:val="22"/>
          <w:szCs w:val="22"/>
        </w:rPr>
        <w:t xml:space="preserve"> Summary of findings and a roadmap for implementation.</w:t>
      </w:r>
    </w:p>
    <w:p w14:paraId="5DC9DF80" w14:textId="60901CA7" w:rsidR="00A535B2" w:rsidRPr="00A3573B" w:rsidRDefault="00A535B2" w:rsidP="00C33FCF">
      <w:p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sz w:val="22"/>
          <w:szCs w:val="22"/>
        </w:rPr>
        <w:br w:type="page"/>
      </w:r>
    </w:p>
    <w:p w14:paraId="18300A4B" w14:textId="78B7A0B4" w:rsidR="00A535B2" w:rsidRPr="00A3573B" w:rsidRDefault="00BF191F" w:rsidP="00C33FCF">
      <w:pPr>
        <w:pStyle w:val="Heading1"/>
        <w:shd w:val="clear" w:color="auto" w:fill="61BC4D"/>
        <w:spacing w:before="120" w:after="120" w:line="240" w:lineRule="auto"/>
        <w:ind w:left="567" w:hanging="567"/>
        <w:jc w:val="both"/>
        <w:rPr>
          <w:rFonts w:ascii="Kohinoor Devanagari" w:hAnsi="Kohinoor Devanagari" w:cs="Kohinoor Devanagari"/>
          <w:b/>
          <w:color w:val="FFFFFF" w:themeColor="background1"/>
          <w:kern w:val="0"/>
          <w:sz w:val="22"/>
          <w:szCs w:val="22"/>
          <w14:ligatures w14:val="none"/>
        </w:rPr>
      </w:pPr>
      <w:bookmarkStart w:id="8" w:name="_Toc194240152"/>
      <w:r>
        <w:rPr>
          <w:rFonts w:ascii="Kohinoor Devanagari" w:hAnsi="Kohinoor Devanagari" w:cs="Kohinoor Devanagari"/>
          <w:b/>
          <w:color w:val="FFFFFF" w:themeColor="background1"/>
          <w:kern w:val="0"/>
          <w:sz w:val="22"/>
          <w:szCs w:val="22"/>
          <w14:ligatures w14:val="none"/>
        </w:rPr>
        <w:lastRenderedPageBreak/>
        <w:t>2</w:t>
      </w:r>
      <w:r w:rsidR="00A535B2" w:rsidRPr="00A3573B">
        <w:rPr>
          <w:rFonts w:ascii="Kohinoor Devanagari" w:hAnsi="Kohinoor Devanagari" w:cs="Kohinoor Devanagari"/>
          <w:b/>
          <w:color w:val="FFFFFF" w:themeColor="background1"/>
          <w:kern w:val="0"/>
          <w:sz w:val="22"/>
          <w:szCs w:val="22"/>
          <w14:ligatures w14:val="none"/>
        </w:rPr>
        <w:t>. Review of Existing Policies</w:t>
      </w:r>
      <w:r w:rsidR="00E21619" w:rsidRPr="00A3573B">
        <w:rPr>
          <w:rFonts w:ascii="Kohinoor Devanagari" w:hAnsi="Kohinoor Devanagari" w:cs="Kohinoor Devanagari"/>
          <w:b/>
          <w:color w:val="FFFFFF" w:themeColor="background1"/>
          <w:kern w:val="0"/>
          <w:sz w:val="22"/>
          <w:szCs w:val="22"/>
          <w14:ligatures w14:val="none"/>
        </w:rPr>
        <w:t xml:space="preserve"> and </w:t>
      </w:r>
      <w:r w:rsidR="00614A38" w:rsidRPr="00A3573B">
        <w:rPr>
          <w:rFonts w:ascii="Kohinoor Devanagari" w:hAnsi="Kohinoor Devanagari" w:cs="Kohinoor Devanagari"/>
          <w:b/>
          <w:color w:val="FFFFFF" w:themeColor="background1"/>
          <w:kern w:val="0"/>
          <w:sz w:val="22"/>
          <w:szCs w:val="22"/>
          <w14:ligatures w14:val="none"/>
        </w:rPr>
        <w:t>their alignments with EITI requirements</w:t>
      </w:r>
      <w:bookmarkEnd w:id="8"/>
    </w:p>
    <w:p w14:paraId="05D07A4E" w14:textId="466D0A36" w:rsidR="000C6AD3" w:rsidRPr="00A3573B" w:rsidRDefault="000C6AD3" w:rsidP="00FD2B68">
      <w:pPr>
        <w:pStyle w:val="Heading2"/>
        <w:numPr>
          <w:ilvl w:val="1"/>
          <w:numId w:val="74"/>
        </w:numPr>
        <w:tabs>
          <w:tab w:val="left" w:pos="426"/>
        </w:tabs>
        <w:spacing w:before="120" w:after="120" w:line="240" w:lineRule="auto"/>
        <w:jc w:val="both"/>
        <w:rPr>
          <w:rFonts w:ascii="Kohinoor Devanagari" w:hAnsi="Kohinoor Devanagari" w:cs="Kohinoor Devanagari"/>
          <w:b/>
          <w:bCs/>
          <w:sz w:val="22"/>
          <w:szCs w:val="22"/>
        </w:rPr>
      </w:pPr>
      <w:bookmarkStart w:id="9" w:name="_Toc194240153"/>
      <w:r w:rsidRPr="00A3573B">
        <w:rPr>
          <w:rFonts w:ascii="Kohinoor Devanagari" w:hAnsi="Kohinoor Devanagari" w:cs="Kohinoor Devanagari"/>
          <w:b/>
          <w:bCs/>
          <w:sz w:val="22"/>
          <w:szCs w:val="22"/>
        </w:rPr>
        <w:t>Legal and Institutional Framework for Extractive Data Disclosure in Iraq</w:t>
      </w:r>
      <w:bookmarkEnd w:id="9"/>
    </w:p>
    <w:p w14:paraId="20470E16" w14:textId="4FAEF3EC" w:rsidR="00A535B2" w:rsidRPr="00A3573B" w:rsidRDefault="00DD6D46"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Iraq’s legal and regulatory framework governing the disclosure of extractive sector data is primarily influenced by national laws, government policies, and the country's adherence to international initiatives such as the Extractive Industries Transparency Initiative (EITI). The framework encompasses various legislative instruments and regulatory bodies that oversee the governance, revenue management, and operational transparency of the oil and gas sector.</w:t>
      </w:r>
    </w:p>
    <w:p w14:paraId="3CBE8C4B" w14:textId="574C9A85" w:rsidR="002E7144" w:rsidRPr="00A3573B" w:rsidRDefault="002E7144"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The following key legal and regulatory instruments provide the foundation for systematic disclosure in Iraq’s extractive industries.</w:t>
      </w:r>
    </w:p>
    <w:p w14:paraId="46F61063" w14:textId="7920A2A8" w:rsidR="00DD6D46" w:rsidRPr="00A3573B" w:rsidRDefault="00DD6D46" w:rsidP="00FD2B68">
      <w:pPr>
        <w:pStyle w:val="Heading3"/>
        <w:numPr>
          <w:ilvl w:val="2"/>
          <w:numId w:val="74"/>
        </w:numPr>
        <w:spacing w:before="120" w:after="120" w:line="240" w:lineRule="auto"/>
        <w:ind w:left="567" w:hanging="567"/>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The Constitution of Iraq (2005)</w:t>
      </w:r>
    </w:p>
    <w:p w14:paraId="47380CA4" w14:textId="77777777" w:rsidR="00A85EC9" w:rsidRPr="00A3573B" w:rsidRDefault="00A85EC9"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The 2005 Constitution of Iraq establishes the legal framework for the ownership, management, and transparency of the country's natural resources. It defines key principles related to public ownership of oil and gas, revenue distribution, and the promotion of transparency and accountability in resource governance.</w:t>
      </w:r>
    </w:p>
    <w:p w14:paraId="1A2D5A38" w14:textId="4391EFE7" w:rsidR="0096040E" w:rsidRPr="00A3573B" w:rsidRDefault="0096040E" w:rsidP="00FD2B68">
      <w:pPr>
        <w:pStyle w:val="ListParagraph"/>
        <w:numPr>
          <w:ilvl w:val="0"/>
          <w:numId w:val="7"/>
        </w:numPr>
        <w:spacing w:before="120" w:after="120" w:line="240" w:lineRule="auto"/>
        <w:jc w:val="both"/>
        <w:rPr>
          <w:rFonts w:ascii="Kohinoor Devanagari" w:hAnsi="Kohinoor Devanagari" w:cs="Kohinoor Devanagari"/>
          <w:b/>
          <w:bCs/>
          <w:i/>
          <w:iCs/>
          <w:sz w:val="22"/>
          <w:szCs w:val="22"/>
          <w:lang w:eastAsia="en-GB"/>
        </w:rPr>
      </w:pPr>
      <w:r w:rsidRPr="00A3573B">
        <w:rPr>
          <w:rFonts w:ascii="Kohinoor Devanagari" w:hAnsi="Kohinoor Devanagari" w:cs="Kohinoor Devanagari"/>
          <w:b/>
          <w:bCs/>
          <w:i/>
          <w:iCs/>
          <w:sz w:val="22"/>
          <w:szCs w:val="22"/>
          <w:lang w:eastAsia="en-GB"/>
        </w:rPr>
        <w:t>Key Data Disclosure provisions</w:t>
      </w:r>
    </w:p>
    <w:p w14:paraId="1CD5643A" w14:textId="77777777" w:rsidR="00F83276" w:rsidRPr="00A3573B" w:rsidRDefault="00F83276" w:rsidP="00C33FCF">
      <w:pPr>
        <w:pStyle w:val="ListParagraph"/>
        <w:spacing w:before="120" w:after="120" w:line="240" w:lineRule="auto"/>
        <w:jc w:val="both"/>
        <w:rPr>
          <w:rFonts w:ascii="Kohinoor Devanagari" w:hAnsi="Kohinoor Devanagari" w:cs="Kohinoor Devanagari"/>
          <w:b/>
          <w:bCs/>
          <w:i/>
          <w:iCs/>
          <w:sz w:val="22"/>
          <w:szCs w:val="22"/>
          <w:lang w:eastAsia="en-GB"/>
        </w:rPr>
      </w:pPr>
    </w:p>
    <w:p w14:paraId="4C49C42C" w14:textId="320496A9" w:rsidR="00A85EC9" w:rsidRPr="00A3573B" w:rsidRDefault="00A85EC9" w:rsidP="00FD2B68">
      <w:pPr>
        <w:pStyle w:val="ListParagraph"/>
        <w:numPr>
          <w:ilvl w:val="0"/>
          <w:numId w:val="8"/>
        </w:numPr>
        <w:spacing w:before="120" w:after="120" w:line="240" w:lineRule="auto"/>
        <w:jc w:val="both"/>
        <w:rPr>
          <w:rFonts w:ascii="Kohinoor Devanagari" w:hAnsi="Kohinoor Devanagari" w:cs="Kohinoor Devanagari"/>
          <w:b/>
          <w:bCs/>
          <w:i/>
          <w:iCs/>
          <w:sz w:val="22"/>
          <w:szCs w:val="22"/>
          <w:lang w:eastAsia="en-GB"/>
        </w:rPr>
      </w:pPr>
      <w:r w:rsidRPr="00A3573B">
        <w:rPr>
          <w:rFonts w:ascii="Kohinoor Devanagari" w:hAnsi="Kohinoor Devanagari" w:cs="Kohinoor Devanagari"/>
          <w:b/>
          <w:bCs/>
          <w:i/>
          <w:iCs/>
          <w:sz w:val="22"/>
          <w:szCs w:val="22"/>
          <w:lang w:eastAsia="en-GB"/>
        </w:rPr>
        <w:t>Resource Ownership and Management</w:t>
      </w:r>
    </w:p>
    <w:p w14:paraId="2C66A569" w14:textId="36EE8B6B" w:rsidR="00531E1C" w:rsidRPr="00A3573B" w:rsidRDefault="00531E1C"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The Constitution affirms that Iraq’s oil and gas resources belong to the people of Iraq, with the federal and regional authorities sharing responsibilities for their management and fair revenue distribution.</w:t>
      </w:r>
    </w:p>
    <w:p w14:paraId="78E46749" w14:textId="77777777" w:rsidR="00531E1C" w:rsidRPr="00A3573B" w:rsidRDefault="00531E1C" w:rsidP="00FD2B68">
      <w:pPr>
        <w:numPr>
          <w:ilvl w:val="0"/>
          <w:numId w:val="4"/>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Article 111:</w:t>
      </w:r>
      <w:r w:rsidRPr="00A3573B">
        <w:rPr>
          <w:rFonts w:ascii="Kohinoor Devanagari" w:hAnsi="Kohinoor Devanagari" w:cs="Kohinoor Devanagari"/>
          <w:sz w:val="22"/>
          <w:szCs w:val="22"/>
          <w:lang w:eastAsia="en-GB"/>
        </w:rPr>
        <w:t xml:space="preserve"> Declares that oil and gas are owned collectively by the people of Iraq.</w:t>
      </w:r>
    </w:p>
    <w:p w14:paraId="6D5B59EC" w14:textId="77777777" w:rsidR="00531E1C" w:rsidRPr="00A3573B" w:rsidRDefault="00531E1C" w:rsidP="00FD2B68">
      <w:pPr>
        <w:numPr>
          <w:ilvl w:val="0"/>
          <w:numId w:val="4"/>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Article 112:</w:t>
      </w:r>
      <w:r w:rsidRPr="00A3573B">
        <w:rPr>
          <w:rFonts w:ascii="Kohinoor Devanagari" w:hAnsi="Kohinoor Devanagari" w:cs="Kohinoor Devanagari"/>
          <w:sz w:val="22"/>
          <w:szCs w:val="22"/>
          <w:lang w:eastAsia="en-GB"/>
        </w:rPr>
        <w:t xml:space="preserve"> Mandates the federal government, in coordination with regional authorities, to manage resources and ensure equitable revenue allocation to promote balanced development.</w:t>
      </w:r>
    </w:p>
    <w:p w14:paraId="6C0BBC89" w14:textId="51723685" w:rsidR="00A85EC9" w:rsidRPr="00A3573B" w:rsidRDefault="00A85EC9" w:rsidP="00FD2B68">
      <w:pPr>
        <w:pStyle w:val="ListParagraph"/>
        <w:numPr>
          <w:ilvl w:val="0"/>
          <w:numId w:val="8"/>
        </w:numPr>
        <w:spacing w:before="120" w:after="120" w:line="240" w:lineRule="auto"/>
        <w:jc w:val="both"/>
        <w:rPr>
          <w:rFonts w:ascii="Kohinoor Devanagari" w:hAnsi="Kohinoor Devanagari" w:cs="Kohinoor Devanagari"/>
          <w:b/>
          <w:bCs/>
          <w:i/>
          <w:iCs/>
          <w:sz w:val="22"/>
          <w:szCs w:val="22"/>
          <w:lang w:eastAsia="en-GB"/>
        </w:rPr>
      </w:pPr>
      <w:r w:rsidRPr="00A3573B">
        <w:rPr>
          <w:rFonts w:ascii="Kohinoor Devanagari" w:hAnsi="Kohinoor Devanagari" w:cs="Kohinoor Devanagari"/>
          <w:b/>
          <w:bCs/>
          <w:i/>
          <w:iCs/>
          <w:sz w:val="22"/>
          <w:szCs w:val="22"/>
          <w:lang w:eastAsia="en-GB"/>
        </w:rPr>
        <w:t>Transparency and Public Access to Information</w:t>
      </w:r>
    </w:p>
    <w:p w14:paraId="05A20A65" w14:textId="010F5E20" w:rsidR="00531E1C" w:rsidRPr="00A3573B" w:rsidRDefault="00531E1C"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The Constitution incorporates principles of transparency and accountability, requiring public oversight in the management of natural resources, although it does not explicitly grant a general right to information.</w:t>
      </w:r>
    </w:p>
    <w:p w14:paraId="34756E47" w14:textId="77777777" w:rsidR="00531E1C" w:rsidRPr="00A3573B" w:rsidRDefault="00531E1C" w:rsidP="00FD2B68">
      <w:pPr>
        <w:numPr>
          <w:ilvl w:val="0"/>
          <w:numId w:val="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Article 13:</w:t>
      </w:r>
      <w:r w:rsidRPr="00A3573B">
        <w:rPr>
          <w:rFonts w:ascii="Kohinoor Devanagari" w:hAnsi="Kohinoor Devanagari" w:cs="Kohinoor Devanagari"/>
          <w:sz w:val="22"/>
          <w:szCs w:val="22"/>
          <w:lang w:eastAsia="en-GB"/>
        </w:rPr>
        <w:t xml:space="preserve"> Establishes the supremacy of constitutional provisions over other laws, ensuring transparency-related obligations are upheld.</w:t>
      </w:r>
    </w:p>
    <w:p w14:paraId="18146C5E" w14:textId="77777777" w:rsidR="00531E1C" w:rsidRPr="00A3573B" w:rsidRDefault="00531E1C" w:rsidP="00FD2B68">
      <w:pPr>
        <w:numPr>
          <w:ilvl w:val="0"/>
          <w:numId w:val="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lastRenderedPageBreak/>
        <w:t>Article 38:</w:t>
      </w:r>
      <w:r w:rsidRPr="00A3573B">
        <w:rPr>
          <w:rFonts w:ascii="Kohinoor Devanagari" w:hAnsi="Kohinoor Devanagari" w:cs="Kohinoor Devanagari"/>
          <w:sz w:val="22"/>
          <w:szCs w:val="22"/>
          <w:lang w:eastAsia="en-GB"/>
        </w:rPr>
        <w:t xml:space="preserve"> Guarantees freedom of expression and the press, which supports public access to resource-related information.</w:t>
      </w:r>
    </w:p>
    <w:p w14:paraId="628E0C11" w14:textId="77777777" w:rsidR="00531E1C" w:rsidRPr="00A3573B" w:rsidRDefault="00531E1C" w:rsidP="00FD2B68">
      <w:pPr>
        <w:numPr>
          <w:ilvl w:val="0"/>
          <w:numId w:val="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Article 110:</w:t>
      </w:r>
      <w:r w:rsidRPr="00A3573B">
        <w:rPr>
          <w:rFonts w:ascii="Kohinoor Devanagari" w:hAnsi="Kohinoor Devanagari" w:cs="Kohinoor Devanagari"/>
          <w:sz w:val="22"/>
          <w:szCs w:val="22"/>
          <w:lang w:eastAsia="en-GB"/>
        </w:rPr>
        <w:t xml:space="preserve"> Grants the federal government authority over economic policies, including transparency in fiscal management.</w:t>
      </w:r>
    </w:p>
    <w:p w14:paraId="6D188561" w14:textId="77777777" w:rsidR="00531E1C" w:rsidRPr="00A3573B" w:rsidRDefault="00531E1C" w:rsidP="00FD2B68">
      <w:pPr>
        <w:pStyle w:val="ListParagraph"/>
        <w:numPr>
          <w:ilvl w:val="0"/>
          <w:numId w:val="8"/>
        </w:numPr>
        <w:spacing w:before="120" w:after="120" w:line="240" w:lineRule="auto"/>
        <w:jc w:val="both"/>
        <w:rPr>
          <w:rFonts w:ascii="Kohinoor Devanagari" w:hAnsi="Kohinoor Devanagari" w:cs="Kohinoor Devanagari"/>
          <w:b/>
          <w:bCs/>
          <w:i/>
          <w:iCs/>
          <w:sz w:val="22"/>
          <w:szCs w:val="22"/>
          <w:lang w:eastAsia="en-GB"/>
        </w:rPr>
      </w:pPr>
      <w:r w:rsidRPr="00A3573B">
        <w:rPr>
          <w:rFonts w:ascii="Kohinoor Devanagari" w:hAnsi="Kohinoor Devanagari" w:cs="Kohinoor Devanagari"/>
          <w:b/>
          <w:bCs/>
          <w:i/>
          <w:iCs/>
          <w:sz w:val="22"/>
          <w:szCs w:val="22"/>
          <w:lang w:eastAsia="en-GB"/>
        </w:rPr>
        <w:t>Financial Governance and Revenue Distribution</w:t>
      </w:r>
    </w:p>
    <w:p w14:paraId="17B0FE3D" w14:textId="6BD11E81" w:rsidR="00531E1C" w:rsidRPr="00A3573B" w:rsidRDefault="00531E1C"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To ensure transparency in revenue management, the Constitution mandates oversight mechanisms for the allocation and utilization of extractive revenues.</w:t>
      </w:r>
    </w:p>
    <w:p w14:paraId="7C161EFB" w14:textId="77777777" w:rsidR="00531E1C" w:rsidRPr="00A3573B" w:rsidRDefault="00531E1C" w:rsidP="00FD2B68">
      <w:pPr>
        <w:numPr>
          <w:ilvl w:val="0"/>
          <w:numId w:val="6"/>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Article 106:</w:t>
      </w:r>
      <w:r w:rsidRPr="00A3573B">
        <w:rPr>
          <w:rFonts w:ascii="Kohinoor Devanagari" w:hAnsi="Kohinoor Devanagari" w:cs="Kohinoor Devanagari"/>
          <w:sz w:val="22"/>
          <w:szCs w:val="22"/>
          <w:lang w:eastAsia="en-GB"/>
        </w:rPr>
        <w:t xml:space="preserve"> Requires the establishment of a public commission to audit and monitor the fair distribution of federal revenues to regions and governorates, ensuring transparency and accountability in financial management.</w:t>
      </w:r>
    </w:p>
    <w:p w14:paraId="735F755A" w14:textId="60C1CCF4" w:rsidR="00A85EC9" w:rsidRPr="00A3573B" w:rsidRDefault="00A85EC9"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Despite the constitutional provisions supporting resource transparency, challenges persist, including the lack of explicit mechanisms for enforcement, inconsistencies in implementation across government levels, and limited public accessibility to key resource-related data. Addressing these gaps requires further legal and institutional reforms to align with international best practices such as the Extractive Industries Transparency Initiative (EITI).</w:t>
      </w:r>
    </w:p>
    <w:p w14:paraId="10C3DA56" w14:textId="542D3693" w:rsidR="00531E1C" w:rsidRPr="00A3573B" w:rsidRDefault="00531E1C" w:rsidP="00FD2B68">
      <w:pPr>
        <w:pStyle w:val="ListParagraph"/>
        <w:numPr>
          <w:ilvl w:val="0"/>
          <w:numId w:val="7"/>
        </w:numPr>
        <w:spacing w:before="120" w:after="120" w:line="240" w:lineRule="auto"/>
        <w:jc w:val="both"/>
        <w:rPr>
          <w:rFonts w:ascii="Kohinoor Devanagari" w:hAnsi="Kohinoor Devanagari" w:cs="Kohinoor Devanagari"/>
          <w:b/>
          <w:bCs/>
          <w:i/>
          <w:iCs/>
          <w:sz w:val="22"/>
          <w:szCs w:val="22"/>
          <w:lang w:eastAsia="en-GB"/>
        </w:rPr>
      </w:pPr>
      <w:r w:rsidRPr="00A3573B">
        <w:rPr>
          <w:rFonts w:ascii="Kohinoor Devanagari" w:hAnsi="Kohinoor Devanagari" w:cs="Kohinoor Devanagari"/>
          <w:b/>
          <w:bCs/>
          <w:i/>
          <w:iCs/>
          <w:sz w:val="22"/>
          <w:szCs w:val="22"/>
          <w:lang w:eastAsia="en-GB"/>
        </w:rPr>
        <w:t xml:space="preserve">Challenges and Limitations </w:t>
      </w:r>
    </w:p>
    <w:p w14:paraId="523B9432" w14:textId="13E27982" w:rsidR="00531E1C" w:rsidRPr="00A3573B" w:rsidRDefault="00531E1C" w:rsidP="00FD2B68">
      <w:pPr>
        <w:numPr>
          <w:ilvl w:val="0"/>
          <w:numId w:val="10"/>
        </w:numPr>
        <w:spacing w:before="120" w:after="120" w:line="240" w:lineRule="auto"/>
        <w:ind w:left="714" w:hanging="357"/>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 xml:space="preserve">Lack of explicit Right to Information: </w:t>
      </w:r>
      <w:r w:rsidRPr="00A3573B">
        <w:rPr>
          <w:rFonts w:ascii="Kohinoor Devanagari" w:hAnsi="Kohinoor Devanagari" w:cs="Kohinoor Devanagari"/>
          <w:sz w:val="22"/>
          <w:szCs w:val="22"/>
          <w:lang w:eastAsia="en-GB"/>
        </w:rPr>
        <w:t>While the Constitution promotes transparency principles, it does not explicitly guarantee the public’s right to access government-held information, which can limit proactive disclosure efforts and stakeholder engagement.</w:t>
      </w:r>
    </w:p>
    <w:p w14:paraId="52B11D33" w14:textId="4134398C" w:rsidR="00531E1C" w:rsidRPr="00A3573B" w:rsidRDefault="00531E1C" w:rsidP="00FD2B68">
      <w:pPr>
        <w:numPr>
          <w:ilvl w:val="0"/>
          <w:numId w:val="10"/>
        </w:numPr>
        <w:spacing w:before="120" w:after="120" w:line="240" w:lineRule="auto"/>
        <w:ind w:left="714" w:hanging="357"/>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 xml:space="preserve">Absence of clear disclosure mandates: </w:t>
      </w:r>
      <w:r w:rsidRPr="00A3573B">
        <w:rPr>
          <w:rFonts w:ascii="Kohinoor Devanagari" w:hAnsi="Kohinoor Devanagari" w:cs="Kohinoor Devanagari"/>
          <w:sz w:val="22"/>
          <w:szCs w:val="22"/>
          <w:lang w:eastAsia="en-GB"/>
        </w:rPr>
        <w:t>The constitutional provisions related to resource management focus on ownership and revenue distribution but lack specific obligations for systematic and routine public disclosure of contracts, production data, and financial flows.</w:t>
      </w:r>
    </w:p>
    <w:p w14:paraId="41337E64" w14:textId="202441EA" w:rsidR="00531E1C" w:rsidRPr="00A3573B" w:rsidRDefault="00531E1C" w:rsidP="00FD2B68">
      <w:pPr>
        <w:numPr>
          <w:ilvl w:val="0"/>
          <w:numId w:val="10"/>
        </w:numPr>
        <w:spacing w:before="120" w:after="120" w:line="240" w:lineRule="auto"/>
        <w:ind w:left="714" w:hanging="357"/>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 xml:space="preserve">Fragmentation of Responsibilities: </w:t>
      </w:r>
      <w:r w:rsidRPr="00A3573B">
        <w:rPr>
          <w:rFonts w:ascii="Kohinoor Devanagari" w:hAnsi="Kohinoor Devanagari" w:cs="Kohinoor Devanagari"/>
          <w:sz w:val="22"/>
          <w:szCs w:val="22"/>
          <w:lang w:eastAsia="en-GB"/>
        </w:rPr>
        <w:t>The shared management of natural resources between federal and regional authorities, as outlined in Article 112, may result in inconsistencies in disclosure practices and reporting standards across different levels of government.</w:t>
      </w:r>
    </w:p>
    <w:p w14:paraId="14A6CA6B" w14:textId="77777777" w:rsidR="00A3573B" w:rsidRDefault="00A3573B">
      <w:pPr>
        <w:rPr>
          <w:rFonts w:ascii="Kohinoor Devanagari" w:eastAsiaTheme="majorEastAsia" w:hAnsi="Kohinoor Devanagari" w:cs="Kohinoor Devanagari"/>
          <w:b/>
          <w:bCs/>
          <w:color w:val="0F4761" w:themeColor="accent1" w:themeShade="BF"/>
          <w:sz w:val="22"/>
          <w:szCs w:val="22"/>
          <w:lang w:eastAsia="en-GB"/>
        </w:rPr>
      </w:pPr>
      <w:r>
        <w:rPr>
          <w:rFonts w:ascii="Kohinoor Devanagari" w:hAnsi="Kohinoor Devanagari" w:cs="Kohinoor Devanagari"/>
          <w:b/>
          <w:bCs/>
          <w:sz w:val="22"/>
          <w:szCs w:val="22"/>
          <w:lang w:eastAsia="en-GB"/>
        </w:rPr>
        <w:br w:type="page"/>
      </w:r>
    </w:p>
    <w:p w14:paraId="7D5881FF" w14:textId="3F0B5471" w:rsidR="00912D7D" w:rsidRPr="00A3573B" w:rsidRDefault="00912D7D" w:rsidP="00FD2B68">
      <w:pPr>
        <w:pStyle w:val="Heading3"/>
        <w:numPr>
          <w:ilvl w:val="2"/>
          <w:numId w:val="74"/>
        </w:numPr>
        <w:spacing w:before="120" w:after="120" w:line="240" w:lineRule="auto"/>
        <w:ind w:left="567" w:hanging="567"/>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lastRenderedPageBreak/>
        <w:t>Public Financial Management Law (Law No. 6 of 2019)</w:t>
      </w:r>
    </w:p>
    <w:p w14:paraId="6D5AF4E9" w14:textId="77777777" w:rsidR="00557A08" w:rsidRPr="00A3573B" w:rsidRDefault="00557A08"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The Public Financial Management Law (PFM Law No. 6 of 2019) establishes the legal framework for Iraq's fiscal governance. It aims to enhance transparency, public accountability, and efficient management of resources, with a particular focus on oil revenues, which account for approximately 90% of the national budget.</w:t>
      </w:r>
    </w:p>
    <w:p w14:paraId="39CDB2C5" w14:textId="77777777" w:rsidR="0096040E" w:rsidRPr="00A3573B" w:rsidRDefault="0096040E" w:rsidP="00FD2B68">
      <w:pPr>
        <w:pStyle w:val="ListParagraph"/>
        <w:numPr>
          <w:ilvl w:val="0"/>
          <w:numId w:val="7"/>
        </w:numPr>
        <w:spacing w:before="120" w:after="120" w:line="240" w:lineRule="auto"/>
        <w:jc w:val="both"/>
        <w:rPr>
          <w:rFonts w:ascii="Kohinoor Devanagari" w:hAnsi="Kohinoor Devanagari" w:cs="Kohinoor Devanagari"/>
          <w:b/>
          <w:bCs/>
          <w:i/>
          <w:iCs/>
          <w:sz w:val="22"/>
          <w:szCs w:val="22"/>
          <w:lang w:eastAsia="en-GB"/>
        </w:rPr>
      </w:pPr>
      <w:r w:rsidRPr="00A3573B">
        <w:rPr>
          <w:rFonts w:ascii="Kohinoor Devanagari" w:hAnsi="Kohinoor Devanagari" w:cs="Kohinoor Devanagari"/>
          <w:b/>
          <w:bCs/>
          <w:i/>
          <w:iCs/>
          <w:sz w:val="22"/>
          <w:szCs w:val="22"/>
          <w:lang w:eastAsia="en-GB"/>
        </w:rPr>
        <w:t>Key Disclosure provisions</w:t>
      </w:r>
    </w:p>
    <w:tbl>
      <w:tblPr>
        <w:tblStyle w:val="TableGrid"/>
        <w:tblW w:w="9235" w:type="dxa"/>
        <w:tblBorders>
          <w:top w:val="single" w:sz="6" w:space="0" w:color="61BC4D"/>
          <w:left w:val="single" w:sz="6" w:space="0" w:color="61BC4D"/>
          <w:bottom w:val="single" w:sz="6" w:space="0" w:color="61BC4D"/>
          <w:right w:val="single" w:sz="6" w:space="0" w:color="61BC4D"/>
          <w:insideH w:val="single" w:sz="6" w:space="0" w:color="61BC4D"/>
          <w:insideV w:val="single" w:sz="6" w:space="0" w:color="61BC4D"/>
        </w:tblBorders>
        <w:tblLayout w:type="fixed"/>
        <w:tblLook w:val="04A0" w:firstRow="1" w:lastRow="0" w:firstColumn="1" w:lastColumn="0" w:noHBand="0" w:noVBand="1"/>
      </w:tblPr>
      <w:tblGrid>
        <w:gridCol w:w="1552"/>
        <w:gridCol w:w="796"/>
        <w:gridCol w:w="3031"/>
        <w:gridCol w:w="1287"/>
        <w:gridCol w:w="1150"/>
        <w:gridCol w:w="1419"/>
      </w:tblGrid>
      <w:tr w:rsidR="00557A08" w:rsidRPr="00A3573B" w14:paraId="3F42D7C5" w14:textId="77777777" w:rsidTr="00A3573B">
        <w:trPr>
          <w:tblHeader/>
        </w:trPr>
        <w:tc>
          <w:tcPr>
            <w:tcW w:w="1552" w:type="dxa"/>
            <w:shd w:val="clear" w:color="auto" w:fill="748A96"/>
            <w:hideMark/>
          </w:tcPr>
          <w:p w14:paraId="68DE74E4" w14:textId="77777777" w:rsidR="00557A08" w:rsidRPr="00EC6462" w:rsidRDefault="00557A08" w:rsidP="00EC6462">
            <w:pPr>
              <w:spacing w:before="40" w:after="40"/>
              <w:jc w:val="both"/>
              <w:rPr>
                <w:rFonts w:ascii="Kohinoor Devanagari" w:hAnsi="Kohinoor Devanagari" w:cs="Kohinoor Devanagari"/>
                <w:color w:val="FFFFFF" w:themeColor="background1"/>
                <w:sz w:val="20"/>
                <w:szCs w:val="20"/>
                <w:lang w:val="en-GB" w:eastAsia="en-GB"/>
              </w:rPr>
            </w:pPr>
            <w:r w:rsidRPr="00EC6462">
              <w:rPr>
                <w:rFonts w:ascii="Kohinoor Devanagari" w:hAnsi="Kohinoor Devanagari" w:cs="Kohinoor Devanagari"/>
                <w:color w:val="FFFFFF" w:themeColor="background1"/>
                <w:sz w:val="20"/>
                <w:szCs w:val="20"/>
                <w:lang w:val="en-GB" w:eastAsia="en-GB"/>
              </w:rPr>
              <w:t>Area</w:t>
            </w:r>
          </w:p>
        </w:tc>
        <w:tc>
          <w:tcPr>
            <w:tcW w:w="796" w:type="dxa"/>
            <w:shd w:val="clear" w:color="auto" w:fill="748A96"/>
            <w:hideMark/>
          </w:tcPr>
          <w:p w14:paraId="39373050" w14:textId="77777777" w:rsidR="00557A08" w:rsidRPr="00EC6462" w:rsidRDefault="00557A08" w:rsidP="00EC6462">
            <w:pPr>
              <w:spacing w:before="40" w:after="40"/>
              <w:jc w:val="both"/>
              <w:rPr>
                <w:rFonts w:ascii="Kohinoor Devanagari" w:hAnsi="Kohinoor Devanagari" w:cs="Kohinoor Devanagari"/>
                <w:color w:val="FFFFFF" w:themeColor="background1"/>
                <w:sz w:val="20"/>
                <w:szCs w:val="20"/>
                <w:lang w:val="en-GB" w:eastAsia="en-GB"/>
              </w:rPr>
            </w:pPr>
            <w:r w:rsidRPr="00EC6462">
              <w:rPr>
                <w:rFonts w:ascii="Kohinoor Devanagari" w:hAnsi="Kohinoor Devanagari" w:cs="Kohinoor Devanagari"/>
                <w:color w:val="FFFFFF" w:themeColor="background1"/>
                <w:sz w:val="20"/>
                <w:szCs w:val="20"/>
                <w:lang w:val="en-GB" w:eastAsia="en-GB"/>
              </w:rPr>
              <w:t>Article</w:t>
            </w:r>
          </w:p>
        </w:tc>
        <w:tc>
          <w:tcPr>
            <w:tcW w:w="3031" w:type="dxa"/>
            <w:shd w:val="clear" w:color="auto" w:fill="748A96"/>
            <w:hideMark/>
          </w:tcPr>
          <w:p w14:paraId="15452C9B" w14:textId="77777777" w:rsidR="00557A08" w:rsidRPr="00EC6462" w:rsidRDefault="00557A08" w:rsidP="00EC6462">
            <w:pPr>
              <w:spacing w:before="40" w:after="40"/>
              <w:rPr>
                <w:rFonts w:ascii="Kohinoor Devanagari" w:hAnsi="Kohinoor Devanagari" w:cs="Kohinoor Devanagari"/>
                <w:color w:val="FFFFFF" w:themeColor="background1"/>
                <w:sz w:val="20"/>
                <w:szCs w:val="20"/>
                <w:lang w:val="en-GB" w:eastAsia="en-GB"/>
              </w:rPr>
            </w:pPr>
            <w:r w:rsidRPr="00EC6462">
              <w:rPr>
                <w:rFonts w:ascii="Kohinoor Devanagari" w:hAnsi="Kohinoor Devanagari" w:cs="Kohinoor Devanagari"/>
                <w:color w:val="FFFFFF" w:themeColor="background1"/>
                <w:sz w:val="20"/>
                <w:szCs w:val="20"/>
                <w:lang w:val="en-GB" w:eastAsia="en-GB"/>
              </w:rPr>
              <w:t>Documents and Information to be Disclosed</w:t>
            </w:r>
          </w:p>
        </w:tc>
        <w:tc>
          <w:tcPr>
            <w:tcW w:w="1287" w:type="dxa"/>
            <w:shd w:val="clear" w:color="auto" w:fill="748A96"/>
            <w:hideMark/>
          </w:tcPr>
          <w:p w14:paraId="19CCEAFC" w14:textId="77777777" w:rsidR="00557A08" w:rsidRPr="00EC6462" w:rsidRDefault="00557A08" w:rsidP="00EC6462">
            <w:pPr>
              <w:spacing w:before="40" w:after="40"/>
              <w:jc w:val="both"/>
              <w:rPr>
                <w:rFonts w:ascii="Kohinoor Devanagari" w:hAnsi="Kohinoor Devanagari" w:cs="Kohinoor Devanagari"/>
                <w:color w:val="FFFFFF" w:themeColor="background1"/>
                <w:sz w:val="20"/>
                <w:szCs w:val="20"/>
                <w:lang w:val="en-GB" w:eastAsia="en-GB"/>
              </w:rPr>
            </w:pPr>
            <w:r w:rsidRPr="00EC6462">
              <w:rPr>
                <w:rFonts w:ascii="Kohinoor Devanagari" w:hAnsi="Kohinoor Devanagari" w:cs="Kohinoor Devanagari"/>
                <w:color w:val="FFFFFF" w:themeColor="background1"/>
                <w:sz w:val="20"/>
                <w:szCs w:val="20"/>
                <w:lang w:val="en-GB" w:eastAsia="en-GB"/>
              </w:rPr>
              <w:t>Responsible Entity</w:t>
            </w:r>
          </w:p>
        </w:tc>
        <w:tc>
          <w:tcPr>
            <w:tcW w:w="1150" w:type="dxa"/>
            <w:shd w:val="clear" w:color="auto" w:fill="748A96"/>
            <w:hideMark/>
          </w:tcPr>
          <w:p w14:paraId="655F939F" w14:textId="77777777" w:rsidR="00557A08" w:rsidRPr="00EC6462" w:rsidRDefault="00557A08" w:rsidP="00EC6462">
            <w:pPr>
              <w:spacing w:before="40" w:after="40"/>
              <w:jc w:val="both"/>
              <w:rPr>
                <w:rFonts w:ascii="Kohinoor Devanagari" w:hAnsi="Kohinoor Devanagari" w:cs="Kohinoor Devanagari"/>
                <w:color w:val="FFFFFF" w:themeColor="background1"/>
                <w:sz w:val="20"/>
                <w:szCs w:val="20"/>
                <w:lang w:val="en-GB" w:eastAsia="en-GB"/>
              </w:rPr>
            </w:pPr>
            <w:r w:rsidRPr="00EC6462">
              <w:rPr>
                <w:rFonts w:ascii="Kohinoor Devanagari" w:hAnsi="Kohinoor Devanagari" w:cs="Kohinoor Devanagari"/>
                <w:color w:val="FFFFFF" w:themeColor="background1"/>
                <w:sz w:val="20"/>
                <w:szCs w:val="20"/>
                <w:lang w:val="en-GB" w:eastAsia="en-GB"/>
              </w:rPr>
              <w:t>Frequency</w:t>
            </w:r>
          </w:p>
        </w:tc>
        <w:tc>
          <w:tcPr>
            <w:tcW w:w="1419" w:type="dxa"/>
            <w:shd w:val="clear" w:color="auto" w:fill="748A96"/>
            <w:hideMark/>
          </w:tcPr>
          <w:p w14:paraId="1EAF1EF1" w14:textId="77777777" w:rsidR="00557A08" w:rsidRPr="00A3573B" w:rsidRDefault="00557A08" w:rsidP="00C33FCF">
            <w:pPr>
              <w:spacing w:before="120" w:after="120"/>
              <w:jc w:val="both"/>
              <w:rPr>
                <w:rFonts w:ascii="Kohinoor Devanagari" w:hAnsi="Kohinoor Devanagari" w:cs="Kohinoor Devanagari"/>
                <w:color w:val="FFFFFF" w:themeColor="background1"/>
                <w:sz w:val="22"/>
                <w:szCs w:val="22"/>
                <w:lang w:val="en-GB" w:eastAsia="en-GB"/>
              </w:rPr>
            </w:pPr>
            <w:r w:rsidRPr="00A3573B">
              <w:rPr>
                <w:rFonts w:ascii="Kohinoor Devanagari" w:hAnsi="Kohinoor Devanagari" w:cs="Kohinoor Devanagari"/>
                <w:color w:val="FFFFFF" w:themeColor="background1"/>
                <w:sz w:val="22"/>
                <w:szCs w:val="22"/>
                <w:lang w:val="en-GB" w:eastAsia="en-GB"/>
              </w:rPr>
              <w:t>Disclosure Channels</w:t>
            </w:r>
          </w:p>
        </w:tc>
      </w:tr>
      <w:tr w:rsidR="00AC2B6A" w:rsidRPr="00A3573B" w14:paraId="6D73298A" w14:textId="77777777" w:rsidTr="00A3573B">
        <w:tc>
          <w:tcPr>
            <w:tcW w:w="1552" w:type="dxa"/>
          </w:tcPr>
          <w:p w14:paraId="039C98CA" w14:textId="1E4F1DF9" w:rsidR="00AC2B6A" w:rsidRPr="00EC6462" w:rsidRDefault="00AC2B6A" w:rsidP="00EC6462">
            <w:pPr>
              <w:spacing w:before="40" w:after="40"/>
              <w:jc w:val="both"/>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val="en-GB" w:eastAsia="en-GB"/>
              </w:rPr>
              <w:t>Financial forecast for SOE</w:t>
            </w:r>
          </w:p>
        </w:tc>
        <w:tc>
          <w:tcPr>
            <w:tcW w:w="796" w:type="dxa"/>
          </w:tcPr>
          <w:p w14:paraId="299E2CF7" w14:textId="483FD553" w:rsidR="00AC2B6A" w:rsidRPr="00EC6462" w:rsidRDefault="00AC2B6A" w:rsidP="00EC6462">
            <w:pPr>
              <w:spacing w:before="40" w:after="40"/>
              <w:jc w:val="both"/>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val="en-GB" w:eastAsia="en-GB"/>
              </w:rPr>
              <w:t>Art. 3</w:t>
            </w:r>
          </w:p>
        </w:tc>
        <w:tc>
          <w:tcPr>
            <w:tcW w:w="3031" w:type="dxa"/>
          </w:tcPr>
          <w:p w14:paraId="342FC052" w14:textId="7900B3C1" w:rsidR="00AC2B6A" w:rsidRPr="00EC6462" w:rsidRDefault="00795CB2" w:rsidP="00EC6462">
            <w:pPr>
              <w:spacing w:before="40" w:after="40"/>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eastAsia="en-GB"/>
              </w:rPr>
              <w:t>- Financial projections for the next three years or more for SOEs.</w:t>
            </w:r>
          </w:p>
        </w:tc>
        <w:tc>
          <w:tcPr>
            <w:tcW w:w="1287" w:type="dxa"/>
          </w:tcPr>
          <w:p w14:paraId="26F1D34C" w14:textId="1C876E86" w:rsidR="00AC2B6A" w:rsidRPr="00EC6462" w:rsidRDefault="00795CB2" w:rsidP="00EC6462">
            <w:pPr>
              <w:spacing w:before="40" w:after="40"/>
              <w:jc w:val="both"/>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eastAsia="en-GB"/>
              </w:rPr>
              <w:t>Ministries of Planning and Finance</w:t>
            </w:r>
          </w:p>
        </w:tc>
        <w:tc>
          <w:tcPr>
            <w:tcW w:w="1150" w:type="dxa"/>
          </w:tcPr>
          <w:p w14:paraId="2643C55B" w14:textId="3024BEBB" w:rsidR="00AC2B6A" w:rsidRPr="00EC6462" w:rsidRDefault="00795CB2" w:rsidP="00EC6462">
            <w:pPr>
              <w:spacing w:before="40" w:after="40"/>
              <w:jc w:val="both"/>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eastAsia="en-GB"/>
              </w:rPr>
              <w:t>Annually (March)</w:t>
            </w:r>
          </w:p>
        </w:tc>
        <w:tc>
          <w:tcPr>
            <w:tcW w:w="1419" w:type="dxa"/>
          </w:tcPr>
          <w:p w14:paraId="10F6F71F" w14:textId="46151A2C" w:rsidR="00AC2B6A" w:rsidRPr="00A3573B" w:rsidRDefault="00795CB2" w:rsidP="00C33FCF">
            <w:pPr>
              <w:spacing w:before="120" w:after="120"/>
              <w:jc w:val="both"/>
              <w:rPr>
                <w:rFonts w:ascii="Kohinoor Devanagari" w:hAnsi="Kohinoor Devanagari" w:cs="Kohinoor Devanagari"/>
                <w:sz w:val="22"/>
                <w:szCs w:val="22"/>
                <w:lang w:val="en-GB" w:eastAsia="en-GB"/>
              </w:rPr>
            </w:pPr>
            <w:r w:rsidRPr="00A3573B">
              <w:rPr>
                <w:rFonts w:ascii="Kohinoor Devanagari" w:hAnsi="Kohinoor Devanagari" w:cs="Kohinoor Devanagari"/>
                <w:sz w:val="22"/>
                <w:szCs w:val="22"/>
                <w:lang w:eastAsia="en-GB"/>
              </w:rPr>
              <w:t>Submission to the Council of Ministers</w:t>
            </w:r>
          </w:p>
        </w:tc>
      </w:tr>
      <w:tr w:rsidR="00557A08" w:rsidRPr="00A3573B" w14:paraId="5B6563B5" w14:textId="77777777" w:rsidTr="00A3573B">
        <w:tc>
          <w:tcPr>
            <w:tcW w:w="1552" w:type="dxa"/>
            <w:hideMark/>
          </w:tcPr>
          <w:p w14:paraId="025C80B4" w14:textId="7FDC28A2" w:rsidR="00557A08" w:rsidRPr="00EC6462" w:rsidRDefault="00557A08" w:rsidP="00EC6462">
            <w:pPr>
              <w:spacing w:before="40" w:after="40"/>
              <w:jc w:val="both"/>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val="en-GB" w:eastAsia="en-GB"/>
              </w:rPr>
              <w:t xml:space="preserve">Oil Production </w:t>
            </w:r>
            <w:r w:rsidRPr="00EC6462">
              <w:rPr>
                <w:rFonts w:ascii="Kohinoor Devanagari" w:hAnsi="Kohinoor Devanagari" w:cs="Kohinoor Devanagari"/>
                <w:sz w:val="20"/>
                <w:szCs w:val="20"/>
                <w:lang w:val="en-GB" w:eastAsia="en-GB"/>
              </w:rPr>
              <w:br/>
              <w:t>and Export</w:t>
            </w:r>
          </w:p>
        </w:tc>
        <w:tc>
          <w:tcPr>
            <w:tcW w:w="796" w:type="dxa"/>
            <w:hideMark/>
          </w:tcPr>
          <w:p w14:paraId="31C22E97" w14:textId="77777777" w:rsidR="00557A08" w:rsidRPr="00EC6462" w:rsidRDefault="00557A08" w:rsidP="00EC6462">
            <w:pPr>
              <w:spacing w:before="40" w:after="40"/>
              <w:jc w:val="both"/>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val="en-GB" w:eastAsia="en-GB"/>
              </w:rPr>
              <w:t>Art. 10</w:t>
            </w:r>
          </w:p>
        </w:tc>
        <w:tc>
          <w:tcPr>
            <w:tcW w:w="3031" w:type="dxa"/>
            <w:hideMark/>
          </w:tcPr>
          <w:p w14:paraId="69C227F4" w14:textId="77777777" w:rsidR="00A3573B" w:rsidRPr="00EC6462" w:rsidRDefault="00557A08" w:rsidP="00EC6462">
            <w:pPr>
              <w:spacing w:before="40" w:after="40"/>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val="en-GB" w:eastAsia="en-GB"/>
              </w:rPr>
              <w:t>- Quantities of oil produced and exported.</w:t>
            </w:r>
          </w:p>
          <w:p w14:paraId="61B74182" w14:textId="77777777" w:rsidR="00A3573B" w:rsidRPr="00EC6462" w:rsidRDefault="00557A08" w:rsidP="00EC6462">
            <w:pPr>
              <w:spacing w:before="40" w:after="40"/>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val="en-GB" w:eastAsia="en-GB"/>
              </w:rPr>
              <w:t>- Production costs relative to oil revenues.</w:t>
            </w:r>
          </w:p>
          <w:p w14:paraId="01822F5A" w14:textId="4EEFD47B" w:rsidR="00557A08" w:rsidRPr="00EC6462" w:rsidRDefault="00557A08" w:rsidP="00EC6462">
            <w:pPr>
              <w:spacing w:before="40" w:after="40"/>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val="en-GB" w:eastAsia="en-GB"/>
              </w:rPr>
              <w:t>- Forecasted production and export levels for the next three years.</w:t>
            </w:r>
          </w:p>
        </w:tc>
        <w:tc>
          <w:tcPr>
            <w:tcW w:w="1287" w:type="dxa"/>
            <w:hideMark/>
          </w:tcPr>
          <w:p w14:paraId="7A5F47AA" w14:textId="77777777" w:rsidR="00557A08" w:rsidRPr="00EC6462" w:rsidRDefault="00557A08" w:rsidP="00EC6462">
            <w:pPr>
              <w:spacing w:before="40" w:after="40"/>
              <w:jc w:val="both"/>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val="en-GB" w:eastAsia="en-GB"/>
              </w:rPr>
              <w:t>Ministry of Oil</w:t>
            </w:r>
          </w:p>
        </w:tc>
        <w:tc>
          <w:tcPr>
            <w:tcW w:w="1150" w:type="dxa"/>
            <w:hideMark/>
          </w:tcPr>
          <w:p w14:paraId="344D38E6" w14:textId="77777777" w:rsidR="00557A08" w:rsidRPr="00EC6462" w:rsidRDefault="00557A08" w:rsidP="00EC6462">
            <w:pPr>
              <w:spacing w:before="40" w:after="40"/>
              <w:jc w:val="both"/>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val="en-GB" w:eastAsia="en-GB"/>
              </w:rPr>
              <w:t>Annually (July)</w:t>
            </w:r>
          </w:p>
        </w:tc>
        <w:tc>
          <w:tcPr>
            <w:tcW w:w="1419" w:type="dxa"/>
            <w:hideMark/>
          </w:tcPr>
          <w:p w14:paraId="118CA367" w14:textId="77777777" w:rsidR="00557A08" w:rsidRPr="00A3573B" w:rsidRDefault="00557A08" w:rsidP="00C33FCF">
            <w:pPr>
              <w:spacing w:before="120" w:after="120"/>
              <w:jc w:val="both"/>
              <w:rPr>
                <w:rFonts w:ascii="Kohinoor Devanagari" w:hAnsi="Kohinoor Devanagari" w:cs="Kohinoor Devanagari"/>
                <w:sz w:val="22"/>
                <w:szCs w:val="22"/>
                <w:lang w:val="en-GB" w:eastAsia="en-GB"/>
              </w:rPr>
            </w:pPr>
            <w:r w:rsidRPr="00A3573B">
              <w:rPr>
                <w:rFonts w:ascii="Kohinoor Devanagari" w:hAnsi="Kohinoor Devanagari" w:cs="Kohinoor Devanagari"/>
                <w:sz w:val="22"/>
                <w:szCs w:val="22"/>
                <w:lang w:val="en-GB" w:eastAsia="en-GB"/>
              </w:rPr>
              <w:t>Integrated into the federal budget, official website</w:t>
            </w:r>
          </w:p>
        </w:tc>
      </w:tr>
      <w:tr w:rsidR="00557A08" w:rsidRPr="00A3573B" w14:paraId="2883B51F" w14:textId="77777777" w:rsidTr="00A3573B">
        <w:tc>
          <w:tcPr>
            <w:tcW w:w="1552" w:type="dxa"/>
            <w:hideMark/>
          </w:tcPr>
          <w:p w14:paraId="5BAF06EC" w14:textId="77777777" w:rsidR="00557A08" w:rsidRPr="00EC6462" w:rsidRDefault="00557A08" w:rsidP="00EC6462">
            <w:pPr>
              <w:spacing w:before="40" w:after="40"/>
              <w:jc w:val="both"/>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val="en-GB" w:eastAsia="en-GB"/>
              </w:rPr>
              <w:t>Oil Revenues</w:t>
            </w:r>
          </w:p>
        </w:tc>
        <w:tc>
          <w:tcPr>
            <w:tcW w:w="796" w:type="dxa"/>
            <w:hideMark/>
          </w:tcPr>
          <w:p w14:paraId="64A96259" w14:textId="77777777" w:rsidR="00557A08" w:rsidRPr="00EC6462" w:rsidRDefault="00557A08" w:rsidP="00EC6462">
            <w:pPr>
              <w:spacing w:before="40" w:after="40"/>
              <w:jc w:val="both"/>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val="en-GB" w:eastAsia="en-GB"/>
              </w:rPr>
              <w:t>Art. 35</w:t>
            </w:r>
          </w:p>
        </w:tc>
        <w:tc>
          <w:tcPr>
            <w:tcW w:w="3031" w:type="dxa"/>
            <w:hideMark/>
          </w:tcPr>
          <w:p w14:paraId="682A5C69" w14:textId="77777777" w:rsidR="00A3573B" w:rsidRPr="00EC6462" w:rsidRDefault="00557A08" w:rsidP="00EC6462">
            <w:pPr>
              <w:spacing w:before="40" w:after="40"/>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val="en-GB" w:eastAsia="en-GB"/>
              </w:rPr>
              <w:t xml:space="preserve">- Total </w:t>
            </w:r>
            <w:r w:rsidR="002E4BD0" w:rsidRPr="00EC6462">
              <w:rPr>
                <w:rFonts w:ascii="Kohinoor Devanagari" w:hAnsi="Kohinoor Devanagari" w:cs="Kohinoor Devanagari"/>
                <w:sz w:val="20"/>
                <w:szCs w:val="20"/>
                <w:lang w:val="en-GB" w:eastAsia="en-GB"/>
              </w:rPr>
              <w:t xml:space="preserve">SOE </w:t>
            </w:r>
            <w:r w:rsidRPr="00EC6462">
              <w:rPr>
                <w:rFonts w:ascii="Kohinoor Devanagari" w:hAnsi="Kohinoor Devanagari" w:cs="Kohinoor Devanagari"/>
                <w:sz w:val="20"/>
                <w:szCs w:val="20"/>
                <w:lang w:val="en-GB" w:eastAsia="en-GB"/>
              </w:rPr>
              <w:t>revenues from domestic and international crude oil sales.</w:t>
            </w:r>
          </w:p>
          <w:p w14:paraId="019A0AA1" w14:textId="77777777" w:rsidR="00A3573B" w:rsidRPr="00EC6462" w:rsidRDefault="00557A08" w:rsidP="00EC6462">
            <w:pPr>
              <w:spacing w:before="40" w:after="40"/>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val="en-GB" w:eastAsia="en-GB"/>
              </w:rPr>
              <w:t>- Revenues from contracts signed with International Oil Companies (IOCs).</w:t>
            </w:r>
          </w:p>
          <w:p w14:paraId="512EEFA2" w14:textId="669BC9CF" w:rsidR="00557A08" w:rsidRPr="00EC6462" w:rsidRDefault="00557A08" w:rsidP="00EC6462">
            <w:pPr>
              <w:spacing w:before="40" w:after="40"/>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val="en-GB" w:eastAsia="en-GB"/>
              </w:rPr>
              <w:t>- The state’s share of public oil company profits.</w:t>
            </w:r>
          </w:p>
        </w:tc>
        <w:tc>
          <w:tcPr>
            <w:tcW w:w="1287" w:type="dxa"/>
            <w:hideMark/>
          </w:tcPr>
          <w:p w14:paraId="10AC0AFF" w14:textId="77777777" w:rsidR="00557A08" w:rsidRPr="00EC6462" w:rsidRDefault="00557A08" w:rsidP="00EC6462">
            <w:pPr>
              <w:spacing w:before="40" w:after="40"/>
              <w:jc w:val="both"/>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val="en-GB" w:eastAsia="en-GB"/>
              </w:rPr>
              <w:t>Ministry of Finance</w:t>
            </w:r>
          </w:p>
        </w:tc>
        <w:tc>
          <w:tcPr>
            <w:tcW w:w="1150" w:type="dxa"/>
            <w:hideMark/>
          </w:tcPr>
          <w:p w14:paraId="332E96C1" w14:textId="77777777" w:rsidR="00557A08" w:rsidRPr="00EC6462" w:rsidRDefault="00557A08" w:rsidP="00EC6462">
            <w:pPr>
              <w:spacing w:before="40" w:after="40"/>
              <w:jc w:val="both"/>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val="en-GB" w:eastAsia="en-GB"/>
              </w:rPr>
              <w:t>Quarterly</w:t>
            </w:r>
          </w:p>
        </w:tc>
        <w:tc>
          <w:tcPr>
            <w:tcW w:w="1419" w:type="dxa"/>
            <w:hideMark/>
          </w:tcPr>
          <w:p w14:paraId="1D5A33D8" w14:textId="77777777" w:rsidR="00557A08" w:rsidRPr="00A3573B" w:rsidRDefault="00557A08" w:rsidP="00C33FCF">
            <w:pPr>
              <w:spacing w:before="120" w:after="120"/>
              <w:jc w:val="both"/>
              <w:rPr>
                <w:rFonts w:ascii="Kohinoor Devanagari" w:hAnsi="Kohinoor Devanagari" w:cs="Kohinoor Devanagari"/>
                <w:sz w:val="22"/>
                <w:szCs w:val="22"/>
                <w:lang w:val="en-GB" w:eastAsia="en-GB"/>
              </w:rPr>
            </w:pPr>
            <w:r w:rsidRPr="00A3573B">
              <w:rPr>
                <w:rFonts w:ascii="Kohinoor Devanagari" w:hAnsi="Kohinoor Devanagari" w:cs="Kohinoor Devanagari"/>
                <w:sz w:val="22"/>
                <w:szCs w:val="22"/>
                <w:lang w:val="en-GB" w:eastAsia="en-GB"/>
              </w:rPr>
              <w:t>Public financial reports, federal budget</w:t>
            </w:r>
          </w:p>
        </w:tc>
      </w:tr>
      <w:tr w:rsidR="00557A08" w:rsidRPr="00A3573B" w14:paraId="42F46258" w14:textId="77777777" w:rsidTr="00A3573B">
        <w:tc>
          <w:tcPr>
            <w:tcW w:w="1552" w:type="dxa"/>
            <w:hideMark/>
          </w:tcPr>
          <w:p w14:paraId="5FC81CF5" w14:textId="2F54E77D" w:rsidR="00557A08" w:rsidRPr="00EC6462" w:rsidRDefault="00775DB2" w:rsidP="00EC6462">
            <w:pPr>
              <w:spacing w:before="40" w:after="40"/>
              <w:jc w:val="both"/>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eastAsia="en-GB"/>
              </w:rPr>
              <w:t>Expenditures and Investment of the Oil and Gas Revenue Account</w:t>
            </w:r>
          </w:p>
        </w:tc>
        <w:tc>
          <w:tcPr>
            <w:tcW w:w="796" w:type="dxa"/>
            <w:hideMark/>
          </w:tcPr>
          <w:p w14:paraId="1B0BD3C6" w14:textId="77777777" w:rsidR="00557A08" w:rsidRPr="00EC6462" w:rsidRDefault="00557A08" w:rsidP="00EC6462">
            <w:pPr>
              <w:spacing w:before="40" w:after="40"/>
              <w:jc w:val="both"/>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val="en-GB" w:eastAsia="en-GB"/>
              </w:rPr>
              <w:t>Art. 36</w:t>
            </w:r>
          </w:p>
        </w:tc>
        <w:tc>
          <w:tcPr>
            <w:tcW w:w="3031" w:type="dxa"/>
            <w:hideMark/>
          </w:tcPr>
          <w:p w14:paraId="19FF51D9" w14:textId="77777777" w:rsidR="00C75635" w:rsidRPr="00EC6462" w:rsidRDefault="00504F5D" w:rsidP="00EC6462">
            <w:pPr>
              <w:spacing w:before="40" w:after="4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All revenues generated from the sale of crude oil, exported gas, and extracted gas shall be recognized as revenue for the federal government.</w:t>
            </w:r>
          </w:p>
          <w:p w14:paraId="4CDA86D8" w14:textId="77777777" w:rsidR="00C75635" w:rsidRPr="00EC6462" w:rsidRDefault="00504F5D" w:rsidP="00EC6462">
            <w:pPr>
              <w:spacing w:before="40" w:after="4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xml:space="preserve">- Funds arising from oil exploration payments and any investment returns from </w:t>
            </w:r>
            <w:r w:rsidRPr="00EC6462">
              <w:rPr>
                <w:rFonts w:ascii="Kohinoor Devanagari" w:hAnsi="Kohinoor Devanagari" w:cs="Kohinoor Devanagari"/>
                <w:sz w:val="20"/>
                <w:szCs w:val="20"/>
                <w:lang w:eastAsia="en-GB"/>
              </w:rPr>
              <w:lastRenderedPageBreak/>
              <w:t>the Oil and Gas Revenue Account.</w:t>
            </w:r>
          </w:p>
          <w:p w14:paraId="2FC81491" w14:textId="0AC89A77" w:rsidR="00557A08" w:rsidRPr="00EC6462" w:rsidRDefault="00504F5D" w:rsidP="00EC6462">
            <w:pPr>
              <w:spacing w:before="40" w:after="40"/>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eastAsia="en-GB"/>
              </w:rPr>
              <w:t>- Centralization of all oil and gas revenues into a dedicated federal budget account named the "Oil and Gas Revenue Account."</w:t>
            </w:r>
          </w:p>
        </w:tc>
        <w:tc>
          <w:tcPr>
            <w:tcW w:w="1287" w:type="dxa"/>
            <w:hideMark/>
          </w:tcPr>
          <w:p w14:paraId="29C9DD03" w14:textId="0D2306FD" w:rsidR="00557A08" w:rsidRPr="00EC6462" w:rsidRDefault="004C4FD1" w:rsidP="00EC6462">
            <w:pPr>
              <w:spacing w:before="40" w:after="40"/>
              <w:jc w:val="both"/>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eastAsia="en-GB"/>
              </w:rPr>
              <w:lastRenderedPageBreak/>
              <w:t>Ministry of Finance, Central Bank</w:t>
            </w:r>
          </w:p>
        </w:tc>
        <w:tc>
          <w:tcPr>
            <w:tcW w:w="1150" w:type="dxa"/>
            <w:hideMark/>
          </w:tcPr>
          <w:p w14:paraId="403089DE" w14:textId="77777777" w:rsidR="00557A08" w:rsidRPr="00EC6462" w:rsidRDefault="00557A08" w:rsidP="00EC6462">
            <w:pPr>
              <w:spacing w:before="40" w:after="40"/>
              <w:jc w:val="both"/>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val="en-GB" w:eastAsia="en-GB"/>
              </w:rPr>
              <w:t>Monthly</w:t>
            </w:r>
          </w:p>
        </w:tc>
        <w:tc>
          <w:tcPr>
            <w:tcW w:w="1419" w:type="dxa"/>
            <w:hideMark/>
          </w:tcPr>
          <w:p w14:paraId="2125D1F5" w14:textId="4839886D" w:rsidR="00557A08" w:rsidRPr="00A3573B" w:rsidRDefault="004C4FD1" w:rsidP="00C33FCF">
            <w:pPr>
              <w:spacing w:before="120" w:after="120"/>
              <w:jc w:val="both"/>
              <w:rPr>
                <w:rFonts w:ascii="Kohinoor Devanagari" w:hAnsi="Kohinoor Devanagari" w:cs="Kohinoor Devanagari"/>
                <w:sz w:val="22"/>
                <w:szCs w:val="22"/>
                <w:lang w:val="en-GB" w:eastAsia="en-GB"/>
              </w:rPr>
            </w:pPr>
            <w:r w:rsidRPr="00A3573B">
              <w:rPr>
                <w:rFonts w:ascii="Kohinoor Devanagari" w:hAnsi="Kohinoor Devanagari" w:cs="Kohinoor Devanagari"/>
                <w:sz w:val="22"/>
                <w:szCs w:val="22"/>
                <w:lang w:eastAsia="en-GB"/>
              </w:rPr>
              <w:t>Internal financial reports, public audit</w:t>
            </w:r>
          </w:p>
        </w:tc>
      </w:tr>
      <w:tr w:rsidR="00775DB2" w:rsidRPr="00A3573B" w14:paraId="7E4C9EB5" w14:textId="77777777" w:rsidTr="00A3573B">
        <w:tc>
          <w:tcPr>
            <w:tcW w:w="1552" w:type="dxa"/>
            <w:hideMark/>
          </w:tcPr>
          <w:p w14:paraId="48664EB3" w14:textId="77777777" w:rsidR="00775DB2" w:rsidRPr="00EC6462" w:rsidRDefault="00775DB2" w:rsidP="00EC6462">
            <w:pPr>
              <w:spacing w:before="40" w:after="40"/>
              <w:jc w:val="both"/>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eastAsia="en-GB"/>
              </w:rPr>
              <w:t>Oil and Gas Revenue Account Management</w:t>
            </w:r>
          </w:p>
        </w:tc>
        <w:tc>
          <w:tcPr>
            <w:tcW w:w="796" w:type="dxa"/>
            <w:hideMark/>
          </w:tcPr>
          <w:p w14:paraId="17E611B4" w14:textId="77777777" w:rsidR="00775DB2" w:rsidRPr="00EC6462" w:rsidRDefault="00775DB2" w:rsidP="00EC6462">
            <w:pPr>
              <w:spacing w:before="40" w:after="40"/>
              <w:jc w:val="both"/>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val="en-GB" w:eastAsia="en-GB"/>
              </w:rPr>
              <w:t>Art. 37</w:t>
            </w:r>
          </w:p>
        </w:tc>
        <w:tc>
          <w:tcPr>
            <w:tcW w:w="3031" w:type="dxa"/>
            <w:hideMark/>
          </w:tcPr>
          <w:p w14:paraId="3BC8CA0F" w14:textId="77777777" w:rsidR="00C75635" w:rsidRPr="00EC6462" w:rsidRDefault="00775DB2" w:rsidP="00EC6462">
            <w:pPr>
              <w:spacing w:before="40" w:after="4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-All oil and gas revenues must be deposited into designated bank accounts managed by the Ministry of Finance.</w:t>
            </w:r>
          </w:p>
          <w:p w14:paraId="7041F6B6" w14:textId="58908846" w:rsidR="00775DB2" w:rsidRPr="00EC6462" w:rsidRDefault="00775DB2" w:rsidP="00EC6462">
            <w:pPr>
              <w:spacing w:before="40" w:after="4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Expenditures are restricted to financing federal budget allocations and covering SOE operational costs.</w:t>
            </w:r>
          </w:p>
          <w:p w14:paraId="1352FD26" w14:textId="77777777" w:rsidR="00C75635" w:rsidRPr="00EC6462" w:rsidRDefault="00775DB2" w:rsidP="00EC6462">
            <w:pPr>
              <w:spacing w:before="40" w:after="4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The Ministry of Finance must prepare financial statements in line with international and national standards.</w:t>
            </w:r>
          </w:p>
          <w:p w14:paraId="2DA29988" w14:textId="10BF3B4F" w:rsidR="00775DB2" w:rsidRPr="00EC6462" w:rsidRDefault="00775DB2" w:rsidP="00EC6462">
            <w:pPr>
              <w:spacing w:before="40" w:after="40"/>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eastAsia="en-GB"/>
              </w:rPr>
              <w:t>- The account is subject to audits by an internationally recognized auditor and the Federal Board of Supreme Audit (FBSA).</w:t>
            </w:r>
          </w:p>
        </w:tc>
        <w:tc>
          <w:tcPr>
            <w:tcW w:w="1287" w:type="dxa"/>
            <w:hideMark/>
          </w:tcPr>
          <w:p w14:paraId="51E8C228" w14:textId="77777777" w:rsidR="00775DB2" w:rsidRPr="00EC6462" w:rsidRDefault="00775DB2" w:rsidP="00EC6462">
            <w:pPr>
              <w:spacing w:before="40" w:after="40"/>
              <w:jc w:val="both"/>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eastAsia="en-GB"/>
              </w:rPr>
              <w:t>Ministry of Finance, Central Bank, FBSA</w:t>
            </w:r>
          </w:p>
        </w:tc>
        <w:tc>
          <w:tcPr>
            <w:tcW w:w="1150" w:type="dxa"/>
            <w:hideMark/>
          </w:tcPr>
          <w:p w14:paraId="696D6ADF" w14:textId="77777777" w:rsidR="00775DB2" w:rsidRPr="00EC6462" w:rsidRDefault="00775DB2" w:rsidP="00EC6462">
            <w:pPr>
              <w:spacing w:before="40" w:after="40"/>
              <w:jc w:val="both"/>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val="en-GB" w:eastAsia="en-GB"/>
              </w:rPr>
              <w:t>Quarterly</w:t>
            </w:r>
          </w:p>
        </w:tc>
        <w:tc>
          <w:tcPr>
            <w:tcW w:w="1419" w:type="dxa"/>
            <w:hideMark/>
          </w:tcPr>
          <w:p w14:paraId="25A9CDE5" w14:textId="77777777" w:rsidR="00775DB2" w:rsidRPr="00A3573B" w:rsidRDefault="00775DB2" w:rsidP="00C33FCF">
            <w:pPr>
              <w:spacing w:before="120" w:after="120"/>
              <w:jc w:val="both"/>
              <w:rPr>
                <w:rFonts w:ascii="Kohinoor Devanagari" w:hAnsi="Kohinoor Devanagari" w:cs="Kohinoor Devanagari"/>
                <w:sz w:val="22"/>
                <w:szCs w:val="22"/>
                <w:lang w:val="en-GB" w:eastAsia="en-GB"/>
              </w:rPr>
            </w:pPr>
            <w:r w:rsidRPr="00A3573B">
              <w:rPr>
                <w:rFonts w:ascii="Kohinoor Devanagari" w:hAnsi="Kohinoor Devanagari" w:cs="Kohinoor Devanagari"/>
                <w:sz w:val="22"/>
                <w:szCs w:val="22"/>
                <w:lang w:eastAsia="en-GB"/>
              </w:rPr>
              <w:t>Internal financial reports, audit reports to Parliament</w:t>
            </w:r>
          </w:p>
        </w:tc>
      </w:tr>
      <w:tr w:rsidR="006F17DC" w:rsidRPr="00A3573B" w14:paraId="28075FD6" w14:textId="77777777" w:rsidTr="00A3573B">
        <w:tc>
          <w:tcPr>
            <w:tcW w:w="1552" w:type="dxa"/>
          </w:tcPr>
          <w:p w14:paraId="2629EE49" w14:textId="2D6E1F19" w:rsidR="006F17DC" w:rsidRPr="00EC6462" w:rsidRDefault="006F17DC" w:rsidP="00EC6462">
            <w:pPr>
              <w:spacing w:before="40" w:after="40"/>
              <w:jc w:val="both"/>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Oil and Gas Revenue Reporting and Reconciliation</w:t>
            </w:r>
          </w:p>
        </w:tc>
        <w:tc>
          <w:tcPr>
            <w:tcW w:w="796" w:type="dxa"/>
          </w:tcPr>
          <w:p w14:paraId="31A73472" w14:textId="1BA6F39F" w:rsidR="006F17DC" w:rsidRPr="00EC6462" w:rsidRDefault="006F17DC" w:rsidP="00EC6462">
            <w:pPr>
              <w:spacing w:before="40" w:after="40"/>
              <w:jc w:val="both"/>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val="en-GB" w:eastAsia="en-GB"/>
              </w:rPr>
              <w:t>Art. 38</w:t>
            </w:r>
          </w:p>
        </w:tc>
        <w:tc>
          <w:tcPr>
            <w:tcW w:w="3031" w:type="dxa"/>
          </w:tcPr>
          <w:p w14:paraId="09CA0589" w14:textId="77777777" w:rsidR="00A3573B" w:rsidRPr="00EC6462" w:rsidRDefault="00D63B1E" w:rsidP="00EC6462">
            <w:pPr>
              <w:spacing w:before="40" w:after="4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The Minister of Finance must submit:</w:t>
            </w:r>
          </w:p>
          <w:p w14:paraId="345ADC60" w14:textId="28636FF0" w:rsidR="00C75635" w:rsidRPr="00EC6462" w:rsidRDefault="00D63B1E" w:rsidP="00EC6462">
            <w:pPr>
              <w:spacing w:before="40" w:after="4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A detailed monthly report on the Oil and Gas Revenue Account, including opening and closing balances, assets, and financial movements.</w:t>
            </w:r>
          </w:p>
          <w:p w14:paraId="3C7CD22C" w14:textId="77777777" w:rsidR="00A3573B" w:rsidRPr="00EC6462" w:rsidRDefault="00D63B1E" w:rsidP="00EC6462">
            <w:pPr>
              <w:spacing w:before="40" w:after="4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Quarterly audit results on investment status.</w:t>
            </w:r>
          </w:p>
          <w:p w14:paraId="2982B644" w14:textId="4C999F30" w:rsidR="00A57C85" w:rsidRPr="00EC6462" w:rsidRDefault="00D63B1E" w:rsidP="00EC6462">
            <w:pPr>
              <w:spacing w:before="40" w:after="4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lastRenderedPageBreak/>
              <w:t>- Annual audit reports by the Federal Board of Supreme Audit detailing financial flows.</w:t>
            </w:r>
          </w:p>
          <w:p w14:paraId="5D65C6D9" w14:textId="77777777" w:rsidR="00A57C85" w:rsidRPr="00EC6462" w:rsidRDefault="00D63B1E" w:rsidP="00EC6462">
            <w:pPr>
              <w:spacing w:before="40" w:after="4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The Economic Affairs Committee must review and submit reports to the Cabinet.</w:t>
            </w:r>
          </w:p>
          <w:p w14:paraId="2E990C1C" w14:textId="77777777" w:rsidR="00A57C85" w:rsidRPr="00EC6462" w:rsidRDefault="00D63B1E" w:rsidP="00EC6462">
            <w:pPr>
              <w:spacing w:before="40" w:after="4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SOEs involved in oil and gas activities must provide quarterly reports on production, sales, exports, payments, and outstanding claims to the Ministry of Finance and Ministry of Oil.</w:t>
            </w:r>
          </w:p>
          <w:p w14:paraId="7693CFA7" w14:textId="6D609DF7" w:rsidR="006F17DC" w:rsidRPr="00EC6462" w:rsidRDefault="00D63B1E" w:rsidP="00EC6462">
            <w:pPr>
              <w:spacing w:before="40" w:after="4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The Minister of Finance must submit a reconciliation report to the Cabinet within one month after receiving SOE reports, comparing SOE financial data with the Oil and Gas Revenue Account.</w:t>
            </w:r>
          </w:p>
        </w:tc>
        <w:tc>
          <w:tcPr>
            <w:tcW w:w="1287" w:type="dxa"/>
          </w:tcPr>
          <w:p w14:paraId="1F923C7F" w14:textId="77777777" w:rsidR="006F17DC" w:rsidRPr="00EC6462" w:rsidRDefault="006F17DC" w:rsidP="00EC6462">
            <w:pPr>
              <w:spacing w:before="40" w:after="40"/>
              <w:jc w:val="both"/>
              <w:rPr>
                <w:rFonts w:ascii="Kohinoor Devanagari" w:hAnsi="Kohinoor Devanagari" w:cs="Kohinoor Devanagari"/>
                <w:sz w:val="20"/>
                <w:szCs w:val="20"/>
                <w:lang w:eastAsia="en-GB"/>
              </w:rPr>
            </w:pPr>
          </w:p>
        </w:tc>
        <w:tc>
          <w:tcPr>
            <w:tcW w:w="1150" w:type="dxa"/>
          </w:tcPr>
          <w:p w14:paraId="48278D4F" w14:textId="77777777" w:rsidR="006F17DC" w:rsidRPr="00EC6462" w:rsidRDefault="006F17DC" w:rsidP="00EC6462">
            <w:pPr>
              <w:spacing w:before="40" w:after="40"/>
              <w:jc w:val="both"/>
              <w:rPr>
                <w:rFonts w:ascii="Kohinoor Devanagari" w:hAnsi="Kohinoor Devanagari" w:cs="Kohinoor Devanagari"/>
                <w:sz w:val="20"/>
                <w:szCs w:val="20"/>
                <w:lang w:val="en-GB" w:eastAsia="en-GB"/>
              </w:rPr>
            </w:pPr>
          </w:p>
        </w:tc>
        <w:tc>
          <w:tcPr>
            <w:tcW w:w="1419" w:type="dxa"/>
          </w:tcPr>
          <w:p w14:paraId="3064D9E1" w14:textId="77777777" w:rsidR="006F17DC" w:rsidRPr="00A3573B" w:rsidRDefault="006F17DC" w:rsidP="00C33FCF">
            <w:pPr>
              <w:spacing w:before="120" w:after="120"/>
              <w:jc w:val="both"/>
              <w:rPr>
                <w:rFonts w:ascii="Kohinoor Devanagari" w:hAnsi="Kohinoor Devanagari" w:cs="Kohinoor Devanagari"/>
                <w:sz w:val="22"/>
                <w:szCs w:val="22"/>
                <w:lang w:eastAsia="en-GB"/>
              </w:rPr>
            </w:pPr>
          </w:p>
        </w:tc>
      </w:tr>
      <w:tr w:rsidR="00557A08" w:rsidRPr="00A3573B" w14:paraId="0F316017" w14:textId="77777777" w:rsidTr="00A3573B">
        <w:tc>
          <w:tcPr>
            <w:tcW w:w="1552" w:type="dxa"/>
            <w:hideMark/>
          </w:tcPr>
          <w:p w14:paraId="2B700950" w14:textId="77777777" w:rsidR="00557A08" w:rsidRPr="00EC6462" w:rsidRDefault="00557A08" w:rsidP="00EC6462">
            <w:pPr>
              <w:spacing w:before="40" w:after="40"/>
              <w:jc w:val="both"/>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val="en-GB" w:eastAsia="en-GB"/>
              </w:rPr>
              <w:t>Financial Data Disclosure and Accountability</w:t>
            </w:r>
          </w:p>
        </w:tc>
        <w:tc>
          <w:tcPr>
            <w:tcW w:w="796" w:type="dxa"/>
            <w:hideMark/>
          </w:tcPr>
          <w:p w14:paraId="0422061A" w14:textId="77777777" w:rsidR="00557A08" w:rsidRPr="00EC6462" w:rsidRDefault="00557A08" w:rsidP="00EC6462">
            <w:pPr>
              <w:spacing w:before="40" w:after="40"/>
              <w:jc w:val="both"/>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val="en-GB" w:eastAsia="en-GB"/>
              </w:rPr>
              <w:t>Art. 50</w:t>
            </w:r>
          </w:p>
        </w:tc>
        <w:tc>
          <w:tcPr>
            <w:tcW w:w="3031" w:type="dxa"/>
            <w:hideMark/>
          </w:tcPr>
          <w:p w14:paraId="1086F45C" w14:textId="77777777" w:rsidR="000E6F60" w:rsidRPr="00EC6462" w:rsidRDefault="007308A3" w:rsidP="00EC6462">
            <w:pPr>
              <w:spacing w:before="40" w:after="4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Spending units must adhere to transparency standards and disclose financial and administrative activities (past, present, future) in a timely manner on official websites.</w:t>
            </w:r>
          </w:p>
          <w:p w14:paraId="22C1C50E" w14:textId="77777777" w:rsidR="000E6F60" w:rsidRPr="00EC6462" w:rsidRDefault="007308A3" w:rsidP="00EC6462">
            <w:pPr>
              <w:spacing w:before="40" w:after="4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The published information includes:</w:t>
            </w:r>
          </w:p>
          <w:p w14:paraId="3AB6E536" w14:textId="77777777" w:rsidR="00A3573B" w:rsidRPr="00EC6462" w:rsidRDefault="007308A3" w:rsidP="00EC6462">
            <w:pPr>
              <w:spacing w:before="40" w:after="4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Government-approved financial reports under Article 3.</w:t>
            </w:r>
          </w:p>
          <w:p w14:paraId="111AE4F7" w14:textId="746AA7DE" w:rsidR="000E6F60" w:rsidRPr="00EC6462" w:rsidRDefault="007308A3" w:rsidP="00EC6462">
            <w:pPr>
              <w:spacing w:before="40" w:after="4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lastRenderedPageBreak/>
              <w:t>- Proposed and approved budgets by the Council of Ministers and Parliament.</w:t>
            </w:r>
          </w:p>
          <w:p w14:paraId="60B568F3" w14:textId="472846C6" w:rsidR="000E6F60" w:rsidRPr="00EC6462" w:rsidRDefault="007308A3" w:rsidP="00EC6462">
            <w:pPr>
              <w:spacing w:before="40" w:after="4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The financial policy document.</w:t>
            </w:r>
          </w:p>
          <w:p w14:paraId="2EED06A2" w14:textId="77777777" w:rsidR="000E6F60" w:rsidRPr="00EC6462" w:rsidRDefault="007308A3" w:rsidP="00EC6462">
            <w:pPr>
              <w:spacing w:before="40" w:after="4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Detailed revenue and expenditure estimates (cash and in-kind) for each spending unit.</w:t>
            </w:r>
          </w:p>
          <w:p w14:paraId="6AA6B1A9" w14:textId="1C882B2C" w:rsidR="000E6F60" w:rsidRPr="00EC6462" w:rsidRDefault="007308A3" w:rsidP="00EC6462">
            <w:pPr>
              <w:spacing w:before="40" w:after="4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Approved oil and gas surplus revenue investment policy.</w:t>
            </w:r>
          </w:p>
          <w:p w14:paraId="7751CC24" w14:textId="77777777" w:rsidR="000E6F60" w:rsidRPr="00EC6462" w:rsidRDefault="007308A3" w:rsidP="00EC6462">
            <w:pPr>
              <w:spacing w:before="40" w:after="4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Monthly detailed reports on the Oil and Gas Revenue Account.</w:t>
            </w:r>
          </w:p>
          <w:p w14:paraId="5D40E7B7" w14:textId="77777777" w:rsidR="000E6F60" w:rsidRPr="00EC6462" w:rsidRDefault="007308A3" w:rsidP="00EC6462">
            <w:pPr>
              <w:spacing w:before="40" w:after="4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Quarterly audit results on the investment status of oil and gas revenues.</w:t>
            </w:r>
          </w:p>
          <w:p w14:paraId="0296DE34" w14:textId="77777777" w:rsidR="000E6F60" w:rsidRPr="00EC6462" w:rsidRDefault="007308A3" w:rsidP="00EC6462">
            <w:pPr>
              <w:spacing w:before="40" w:after="4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Annual financial statements of the Oil and Gas Revenue Account.</w:t>
            </w:r>
          </w:p>
          <w:p w14:paraId="00126249" w14:textId="77777777" w:rsidR="000E6F60" w:rsidRPr="00EC6462" w:rsidRDefault="007308A3" w:rsidP="00EC6462">
            <w:pPr>
              <w:spacing w:before="40" w:after="4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Federal Board of Supreme Audit reports.</w:t>
            </w:r>
          </w:p>
          <w:p w14:paraId="1EA85D65" w14:textId="77777777" w:rsidR="000E6F60" w:rsidRPr="00EC6462" w:rsidRDefault="007308A3" w:rsidP="00EC6462">
            <w:pPr>
              <w:spacing w:before="40" w:after="4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Reports from SOEs engaged in oil and gas operations (Article 38, Clause 3)</w:t>
            </w:r>
          </w:p>
          <w:p w14:paraId="73A3861C" w14:textId="77777777" w:rsidR="000E6F60" w:rsidRPr="00EC6462" w:rsidRDefault="007308A3" w:rsidP="00EC6462">
            <w:pPr>
              <w:spacing w:before="40" w:after="4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Oil and gas revenue account reconciliation reports (Article 38, Clause 4).</w:t>
            </w:r>
          </w:p>
          <w:p w14:paraId="52AFDC36" w14:textId="77777777" w:rsidR="000E6F60" w:rsidRPr="00EC6462" w:rsidRDefault="007308A3" w:rsidP="00EC6462">
            <w:pPr>
              <w:spacing w:before="40" w:after="4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The government accounting manual and monthly reports on federal budget execution.</w:t>
            </w:r>
          </w:p>
          <w:p w14:paraId="096FAE2D" w14:textId="77777777" w:rsidR="000E6F60" w:rsidRPr="00EC6462" w:rsidRDefault="007308A3" w:rsidP="00EC6462">
            <w:pPr>
              <w:spacing w:before="40" w:after="4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xml:space="preserve">- Preliminary financial statements every four </w:t>
            </w:r>
            <w:r w:rsidRPr="00EC6462">
              <w:rPr>
                <w:rFonts w:ascii="Kohinoor Devanagari" w:hAnsi="Kohinoor Devanagari" w:cs="Kohinoor Devanagari"/>
                <w:sz w:val="20"/>
                <w:szCs w:val="20"/>
                <w:lang w:eastAsia="en-GB"/>
              </w:rPr>
              <w:lastRenderedPageBreak/>
              <w:t>months (Article 34, Clause 1).</w:t>
            </w:r>
          </w:p>
          <w:p w14:paraId="18A08A94" w14:textId="77777777" w:rsidR="000E6F60" w:rsidRPr="00EC6462" w:rsidRDefault="007308A3" w:rsidP="00EC6462">
            <w:pPr>
              <w:spacing w:before="40" w:after="4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Updated list of self-funded administrations and their financial reports, final statements, and audit opinions.</w:t>
            </w:r>
          </w:p>
          <w:p w14:paraId="2850C43A" w14:textId="025BD900" w:rsidR="00557A08" w:rsidRPr="00EC6462" w:rsidRDefault="007308A3" w:rsidP="00EC6462">
            <w:pPr>
              <w:spacing w:before="40" w:after="40"/>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eastAsia="en-GB"/>
              </w:rPr>
              <w:t>- Citizen budget reports.</w:t>
            </w:r>
          </w:p>
        </w:tc>
        <w:tc>
          <w:tcPr>
            <w:tcW w:w="1287" w:type="dxa"/>
            <w:hideMark/>
          </w:tcPr>
          <w:p w14:paraId="3D84A210" w14:textId="4FAF7F11" w:rsidR="00557A08" w:rsidRPr="00EC6462" w:rsidRDefault="00E67F6D" w:rsidP="00EC6462">
            <w:pPr>
              <w:spacing w:before="40" w:after="40"/>
              <w:jc w:val="both"/>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eastAsia="en-GB"/>
              </w:rPr>
              <w:lastRenderedPageBreak/>
              <w:t>Ministry of Finance, Spending Units</w:t>
            </w:r>
          </w:p>
        </w:tc>
        <w:tc>
          <w:tcPr>
            <w:tcW w:w="1150" w:type="dxa"/>
            <w:hideMark/>
          </w:tcPr>
          <w:p w14:paraId="244A141C" w14:textId="58C32082" w:rsidR="00557A08" w:rsidRPr="00EC6462" w:rsidRDefault="00E67F6D" w:rsidP="00EC6462">
            <w:pPr>
              <w:spacing w:before="40" w:after="40"/>
              <w:jc w:val="both"/>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eastAsia="en-GB"/>
              </w:rPr>
              <w:t>Monthly, Quarterly, Annually</w:t>
            </w:r>
          </w:p>
        </w:tc>
        <w:tc>
          <w:tcPr>
            <w:tcW w:w="1419" w:type="dxa"/>
            <w:hideMark/>
          </w:tcPr>
          <w:p w14:paraId="48F236E9" w14:textId="7FA1270A" w:rsidR="00557A08" w:rsidRPr="00A3573B" w:rsidRDefault="00E67F6D" w:rsidP="00C33FCF">
            <w:pPr>
              <w:spacing w:before="120" w:after="120"/>
              <w:jc w:val="both"/>
              <w:rPr>
                <w:rFonts w:ascii="Kohinoor Devanagari" w:hAnsi="Kohinoor Devanagari" w:cs="Kohinoor Devanagari"/>
                <w:sz w:val="22"/>
                <w:szCs w:val="22"/>
                <w:lang w:val="en-GB" w:eastAsia="en-GB"/>
              </w:rPr>
            </w:pPr>
            <w:r w:rsidRPr="00A3573B">
              <w:rPr>
                <w:rFonts w:ascii="Kohinoor Devanagari" w:hAnsi="Kohinoor Devanagari" w:cs="Kohinoor Devanagari"/>
                <w:sz w:val="22"/>
                <w:szCs w:val="22"/>
                <w:lang w:eastAsia="en-GB"/>
              </w:rPr>
              <w:t>Official government websites, Parliament reports</w:t>
            </w:r>
          </w:p>
        </w:tc>
      </w:tr>
      <w:tr w:rsidR="00557A08" w:rsidRPr="00A3573B" w14:paraId="150CBF69" w14:textId="77777777" w:rsidTr="00A3573B">
        <w:tc>
          <w:tcPr>
            <w:tcW w:w="1552" w:type="dxa"/>
            <w:hideMark/>
          </w:tcPr>
          <w:p w14:paraId="744004DB" w14:textId="33501C98" w:rsidR="00557A08" w:rsidRPr="00EC6462" w:rsidRDefault="00D74B2E" w:rsidP="00EC6462">
            <w:pPr>
              <w:spacing w:before="40" w:after="40"/>
              <w:jc w:val="both"/>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eastAsia="en-GB"/>
              </w:rPr>
              <w:lastRenderedPageBreak/>
              <w:t>Implementation Instructions</w:t>
            </w:r>
          </w:p>
        </w:tc>
        <w:tc>
          <w:tcPr>
            <w:tcW w:w="796" w:type="dxa"/>
            <w:hideMark/>
          </w:tcPr>
          <w:p w14:paraId="57072FBB" w14:textId="1DAFC66C" w:rsidR="00557A08" w:rsidRPr="00EC6462" w:rsidRDefault="00557A08" w:rsidP="00EC6462">
            <w:pPr>
              <w:spacing w:before="40" w:after="40"/>
              <w:jc w:val="both"/>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val="en-GB" w:eastAsia="en-GB"/>
              </w:rPr>
              <w:t>Art. 5</w:t>
            </w:r>
            <w:r w:rsidR="00D74B2E" w:rsidRPr="00EC6462">
              <w:rPr>
                <w:rFonts w:ascii="Kohinoor Devanagari" w:hAnsi="Kohinoor Devanagari" w:cs="Kohinoor Devanagari"/>
                <w:sz w:val="20"/>
                <w:szCs w:val="20"/>
                <w:lang w:val="en-GB" w:eastAsia="en-GB"/>
              </w:rPr>
              <w:t>4</w:t>
            </w:r>
          </w:p>
        </w:tc>
        <w:tc>
          <w:tcPr>
            <w:tcW w:w="3031" w:type="dxa"/>
            <w:hideMark/>
          </w:tcPr>
          <w:p w14:paraId="49BF019C" w14:textId="0B0457E1" w:rsidR="00557A08" w:rsidRPr="00EC6462" w:rsidRDefault="003D7CB4" w:rsidP="00EC6462">
            <w:pPr>
              <w:spacing w:before="40" w:after="40"/>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eastAsia="en-GB"/>
              </w:rPr>
              <w:t>- The Council of Ministers is responsible for issuing detailed instructions to facilitate the implementation of this law and ensure compliance with its provisions.</w:t>
            </w:r>
          </w:p>
        </w:tc>
        <w:tc>
          <w:tcPr>
            <w:tcW w:w="1287" w:type="dxa"/>
            <w:hideMark/>
          </w:tcPr>
          <w:p w14:paraId="3FAD8DFF" w14:textId="2F18788F" w:rsidR="00557A08" w:rsidRPr="00EC6462" w:rsidRDefault="003D7CB4" w:rsidP="00EC6462">
            <w:pPr>
              <w:spacing w:before="40" w:after="40"/>
              <w:jc w:val="both"/>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eastAsia="en-GB"/>
              </w:rPr>
              <w:t>Council of Ministers</w:t>
            </w:r>
          </w:p>
        </w:tc>
        <w:tc>
          <w:tcPr>
            <w:tcW w:w="1150" w:type="dxa"/>
            <w:hideMark/>
          </w:tcPr>
          <w:p w14:paraId="002D3EB1" w14:textId="19663AAF" w:rsidR="00557A08" w:rsidRPr="00EC6462" w:rsidRDefault="003D7CB4" w:rsidP="00EC6462">
            <w:pPr>
              <w:spacing w:before="40" w:after="40"/>
              <w:jc w:val="both"/>
              <w:rPr>
                <w:rFonts w:ascii="Kohinoor Devanagari" w:hAnsi="Kohinoor Devanagari" w:cs="Kohinoor Devanagari"/>
                <w:sz w:val="20"/>
                <w:szCs w:val="20"/>
                <w:lang w:val="en-GB" w:eastAsia="en-GB"/>
              </w:rPr>
            </w:pPr>
            <w:r w:rsidRPr="00EC6462">
              <w:rPr>
                <w:rFonts w:ascii="Kohinoor Devanagari" w:hAnsi="Kohinoor Devanagari" w:cs="Kohinoor Devanagari"/>
                <w:sz w:val="20"/>
                <w:szCs w:val="20"/>
                <w:lang w:eastAsia="en-GB"/>
              </w:rPr>
              <w:t>As needed</w:t>
            </w:r>
          </w:p>
        </w:tc>
        <w:tc>
          <w:tcPr>
            <w:tcW w:w="1419" w:type="dxa"/>
            <w:hideMark/>
          </w:tcPr>
          <w:p w14:paraId="62CAB19D" w14:textId="653A47BB" w:rsidR="00557A08" w:rsidRPr="00A3573B" w:rsidRDefault="00557A08" w:rsidP="00C33FCF">
            <w:pPr>
              <w:spacing w:before="120" w:after="120"/>
              <w:jc w:val="both"/>
              <w:rPr>
                <w:rFonts w:ascii="Kohinoor Devanagari" w:hAnsi="Kohinoor Devanagari" w:cs="Kohinoor Devanagari"/>
                <w:sz w:val="22"/>
                <w:szCs w:val="22"/>
                <w:lang w:val="en-GB" w:eastAsia="en-GB"/>
              </w:rPr>
            </w:pPr>
          </w:p>
        </w:tc>
      </w:tr>
    </w:tbl>
    <w:p w14:paraId="21CC2356" w14:textId="20DF73E7" w:rsidR="00557A08" w:rsidRPr="00A3573B" w:rsidRDefault="00557A08" w:rsidP="00FD2B68">
      <w:pPr>
        <w:pStyle w:val="ListParagraph"/>
        <w:numPr>
          <w:ilvl w:val="0"/>
          <w:numId w:val="9"/>
        </w:numPr>
        <w:spacing w:before="120" w:after="120" w:line="240" w:lineRule="auto"/>
        <w:jc w:val="both"/>
        <w:rPr>
          <w:rFonts w:ascii="Kohinoor Devanagari" w:hAnsi="Kohinoor Devanagari" w:cs="Kohinoor Devanagari"/>
          <w:b/>
          <w:bCs/>
          <w:i/>
          <w:iCs/>
          <w:sz w:val="22"/>
          <w:szCs w:val="22"/>
          <w:lang w:eastAsia="en-GB"/>
        </w:rPr>
      </w:pPr>
      <w:r w:rsidRPr="00A3573B">
        <w:rPr>
          <w:rFonts w:ascii="Kohinoor Devanagari" w:hAnsi="Kohinoor Devanagari" w:cs="Kohinoor Devanagari"/>
          <w:b/>
          <w:bCs/>
          <w:i/>
          <w:iCs/>
          <w:sz w:val="22"/>
          <w:szCs w:val="22"/>
          <w:lang w:eastAsia="en-GB"/>
        </w:rPr>
        <w:t xml:space="preserve">Challenges and Limitations </w:t>
      </w:r>
    </w:p>
    <w:p w14:paraId="16CAA22C" w14:textId="77777777" w:rsidR="009F7B2B" w:rsidRPr="00A3573B" w:rsidRDefault="009F7B2B"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Despite the comprehensive provisions of the Public Financial Management Law No. 6 of 2019, several challenges hinder its full implementation and the achievement of systematic disclosure objectives in Iraq’s extractive sector.</w:t>
      </w:r>
    </w:p>
    <w:p w14:paraId="2C60213F" w14:textId="1D52D1BF" w:rsidR="009F7B2B" w:rsidRPr="00A3573B" w:rsidRDefault="009F7B2B" w:rsidP="00FD2B68">
      <w:pPr>
        <w:numPr>
          <w:ilvl w:val="0"/>
          <w:numId w:val="10"/>
        </w:numPr>
        <w:spacing w:before="120" w:after="120" w:line="240" w:lineRule="auto"/>
        <w:ind w:left="714" w:hanging="357"/>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 xml:space="preserve">Weak Enforcement and </w:t>
      </w:r>
      <w:r w:rsidR="004A0EDD" w:rsidRPr="00A3573B">
        <w:rPr>
          <w:rFonts w:ascii="Kohinoor Devanagari" w:hAnsi="Kohinoor Devanagari" w:cs="Kohinoor Devanagari"/>
          <w:b/>
          <w:bCs/>
          <w:sz w:val="22"/>
          <w:szCs w:val="22"/>
          <w:lang w:eastAsia="en-GB"/>
        </w:rPr>
        <w:t xml:space="preserve">Compliance: </w:t>
      </w:r>
      <w:r w:rsidRPr="00A3573B">
        <w:rPr>
          <w:rFonts w:ascii="Kohinoor Devanagari" w:hAnsi="Kohinoor Devanagari" w:cs="Kohinoor Devanagari"/>
          <w:sz w:val="22"/>
          <w:szCs w:val="22"/>
          <w:lang w:eastAsia="en-GB"/>
        </w:rPr>
        <w:t>Lack of strong enforcement mechanisms results in inconsistent compliance, particularly among State-Owned Enterprises (SOEs), leading to delays and incomplete financial disclosures.</w:t>
      </w:r>
    </w:p>
    <w:p w14:paraId="2CEFA074" w14:textId="0249E875" w:rsidR="009F7B2B" w:rsidRPr="00A3573B" w:rsidRDefault="009F7B2B" w:rsidP="00FD2B68">
      <w:pPr>
        <w:numPr>
          <w:ilvl w:val="0"/>
          <w:numId w:val="10"/>
        </w:numPr>
        <w:spacing w:before="120" w:after="120" w:line="240" w:lineRule="auto"/>
        <w:ind w:left="714" w:hanging="357"/>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Limited Public Access and Awareness</w:t>
      </w:r>
      <w:r w:rsidR="004A0EDD" w:rsidRPr="00A3573B">
        <w:rPr>
          <w:rFonts w:ascii="Kohinoor Devanagari" w:hAnsi="Kohinoor Devanagari" w:cs="Kohinoor Devanagari"/>
          <w:b/>
          <w:bCs/>
          <w:sz w:val="22"/>
          <w:szCs w:val="22"/>
          <w:lang w:eastAsia="en-GB"/>
        </w:rPr>
        <w:t xml:space="preserve">: </w:t>
      </w:r>
      <w:r w:rsidRPr="00A3573B">
        <w:rPr>
          <w:rFonts w:ascii="Kohinoor Devanagari" w:hAnsi="Kohinoor Devanagari" w:cs="Kohinoor Devanagari"/>
          <w:sz w:val="22"/>
          <w:szCs w:val="22"/>
          <w:lang w:eastAsia="en-GB"/>
        </w:rPr>
        <w:t xml:space="preserve">Although </w:t>
      </w:r>
      <w:r w:rsidR="004A0EDD" w:rsidRPr="00A3573B">
        <w:rPr>
          <w:rFonts w:ascii="Kohinoor Devanagari" w:hAnsi="Kohinoor Devanagari" w:cs="Kohinoor Devanagari"/>
          <w:sz w:val="22"/>
          <w:szCs w:val="22"/>
          <w:lang w:eastAsia="en-GB"/>
        </w:rPr>
        <w:t xml:space="preserve">some </w:t>
      </w:r>
      <w:r w:rsidRPr="00A3573B">
        <w:rPr>
          <w:rFonts w:ascii="Kohinoor Devanagari" w:hAnsi="Kohinoor Devanagari" w:cs="Kohinoor Devanagari"/>
          <w:sz w:val="22"/>
          <w:szCs w:val="22"/>
          <w:lang w:eastAsia="en-GB"/>
        </w:rPr>
        <w:t>financial data is published, it remains complex and not easily accessible to the public, with low levels of awareness and engagement in budget oversight.</w:t>
      </w:r>
    </w:p>
    <w:p w14:paraId="1660796A" w14:textId="686774B1" w:rsidR="009F7B2B" w:rsidRPr="00A3573B" w:rsidRDefault="009F7B2B" w:rsidP="00FD2B68">
      <w:pPr>
        <w:numPr>
          <w:ilvl w:val="0"/>
          <w:numId w:val="10"/>
        </w:numPr>
        <w:spacing w:before="120" w:after="120" w:line="240" w:lineRule="auto"/>
        <w:ind w:left="714" w:hanging="357"/>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 xml:space="preserve">Alignment with </w:t>
      </w:r>
      <w:r w:rsidR="005B5903" w:rsidRPr="00A3573B">
        <w:rPr>
          <w:rFonts w:ascii="Kohinoor Devanagari" w:hAnsi="Kohinoor Devanagari" w:cs="Kohinoor Devanagari"/>
          <w:b/>
          <w:bCs/>
          <w:sz w:val="22"/>
          <w:szCs w:val="22"/>
          <w:lang w:eastAsia="en-GB"/>
        </w:rPr>
        <w:t xml:space="preserve">EITI: </w:t>
      </w:r>
      <w:r w:rsidRPr="00A3573B">
        <w:rPr>
          <w:rFonts w:ascii="Kohinoor Devanagari" w:hAnsi="Kohinoor Devanagari" w:cs="Kohinoor Devanagari"/>
          <w:sz w:val="22"/>
          <w:szCs w:val="22"/>
          <w:lang w:eastAsia="en-GB"/>
        </w:rPr>
        <w:t>The law does not fully meet EITI standards, particularly in areas such as contract transparency, beneficial ownership, and social/environmental impact disclosures.</w:t>
      </w:r>
    </w:p>
    <w:p w14:paraId="4922050A" w14:textId="6A203451" w:rsidR="009F7B2B" w:rsidRPr="00A3573B" w:rsidRDefault="009F7B2B" w:rsidP="00FD2B68">
      <w:pPr>
        <w:numPr>
          <w:ilvl w:val="0"/>
          <w:numId w:val="10"/>
        </w:numPr>
        <w:spacing w:before="120" w:after="120" w:line="240" w:lineRule="auto"/>
        <w:ind w:left="714" w:hanging="357"/>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Political and Institutional Barriers</w:t>
      </w:r>
      <w:r w:rsidR="00FE4A41" w:rsidRPr="00A3573B">
        <w:rPr>
          <w:rFonts w:ascii="Kohinoor Devanagari" w:hAnsi="Kohinoor Devanagari" w:cs="Kohinoor Devanagari"/>
          <w:b/>
          <w:bCs/>
          <w:sz w:val="22"/>
          <w:szCs w:val="22"/>
          <w:lang w:eastAsia="en-GB"/>
        </w:rPr>
        <w:t xml:space="preserve">: </w:t>
      </w:r>
      <w:r w:rsidRPr="00A3573B">
        <w:rPr>
          <w:rFonts w:ascii="Kohinoor Devanagari" w:hAnsi="Kohinoor Devanagari" w:cs="Kohinoor Devanagari"/>
          <w:sz w:val="22"/>
          <w:szCs w:val="22"/>
          <w:lang w:eastAsia="en-GB"/>
        </w:rPr>
        <w:t>Political influence and governance challenges may impact transparency efforts, leading to selective disclosure.</w:t>
      </w:r>
    </w:p>
    <w:p w14:paraId="67166025" w14:textId="77777777" w:rsidR="00300DB2" w:rsidRPr="00A3573B" w:rsidRDefault="00300DB2" w:rsidP="00FD2B68">
      <w:pPr>
        <w:pStyle w:val="Heading3"/>
        <w:numPr>
          <w:ilvl w:val="2"/>
          <w:numId w:val="74"/>
        </w:numPr>
        <w:spacing w:before="120" w:after="120" w:line="240" w:lineRule="auto"/>
        <w:ind w:left="567" w:hanging="567"/>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Public Companies Law (Law No. 22 of 1997, as Amended)</w:t>
      </w:r>
    </w:p>
    <w:p w14:paraId="607355B0" w14:textId="77777777" w:rsidR="00300DB2" w:rsidRPr="00A3573B" w:rsidRDefault="00300DB2" w:rsidP="00300DB2">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 xml:space="preserve">The Public Companies Law No. 22 of 1997, as amended, regulates the establishment, management, and financial operations of Iraqi state-owned enterprises (SOEs). It aims </w:t>
      </w:r>
      <w:r w:rsidRPr="00A3573B">
        <w:rPr>
          <w:rFonts w:ascii="Kohinoor Devanagari" w:hAnsi="Kohinoor Devanagari" w:cs="Kohinoor Devanagari"/>
          <w:sz w:val="22"/>
          <w:szCs w:val="22"/>
          <w:lang w:eastAsia="en-GB"/>
        </w:rPr>
        <w:lastRenderedPageBreak/>
        <w:t>to ensure financial independence and economic efficiency while defining key aspects such as governance, financial reporting, and the relationship with the state. This analysis focuses on the law’s provisions relevant to the systematic disclosure of SOE data in line with EITI requirements.</w:t>
      </w:r>
    </w:p>
    <w:p w14:paraId="43AB3081" w14:textId="77777777" w:rsidR="00300DB2" w:rsidRPr="00A3573B" w:rsidRDefault="00300DB2" w:rsidP="00FD2B68">
      <w:pPr>
        <w:pStyle w:val="ListParagraph"/>
        <w:numPr>
          <w:ilvl w:val="0"/>
          <w:numId w:val="7"/>
        </w:numPr>
        <w:spacing w:before="120" w:after="120" w:line="240" w:lineRule="auto"/>
        <w:jc w:val="both"/>
        <w:rPr>
          <w:rFonts w:ascii="Kohinoor Devanagari" w:hAnsi="Kohinoor Devanagari" w:cs="Kohinoor Devanagari"/>
          <w:b/>
          <w:bCs/>
          <w:i/>
          <w:iCs/>
          <w:sz w:val="22"/>
          <w:szCs w:val="22"/>
          <w:lang w:eastAsia="en-GB"/>
        </w:rPr>
      </w:pPr>
      <w:r w:rsidRPr="00A3573B">
        <w:rPr>
          <w:rFonts w:ascii="Kohinoor Devanagari" w:hAnsi="Kohinoor Devanagari" w:cs="Kohinoor Devanagari"/>
          <w:b/>
          <w:bCs/>
          <w:i/>
          <w:iCs/>
          <w:sz w:val="22"/>
          <w:szCs w:val="22"/>
          <w:lang w:eastAsia="en-GB"/>
        </w:rPr>
        <w:t>Key Data Disclosure provisions</w:t>
      </w:r>
    </w:p>
    <w:tbl>
      <w:tblPr>
        <w:tblStyle w:val="TableGrid"/>
        <w:tblW w:w="0" w:type="auto"/>
        <w:tblBorders>
          <w:top w:val="single" w:sz="6" w:space="0" w:color="61BC4D"/>
          <w:left w:val="single" w:sz="6" w:space="0" w:color="61BC4D"/>
          <w:bottom w:val="single" w:sz="6" w:space="0" w:color="61BC4D"/>
          <w:right w:val="single" w:sz="6" w:space="0" w:color="61BC4D"/>
          <w:insideH w:val="single" w:sz="6" w:space="0" w:color="61BC4D"/>
          <w:insideV w:val="single" w:sz="6" w:space="0" w:color="61BC4D"/>
        </w:tblBorders>
        <w:tblLook w:val="04A0" w:firstRow="1" w:lastRow="0" w:firstColumn="1" w:lastColumn="0" w:noHBand="0" w:noVBand="1"/>
      </w:tblPr>
      <w:tblGrid>
        <w:gridCol w:w="2066"/>
        <w:gridCol w:w="1211"/>
        <w:gridCol w:w="3137"/>
        <w:gridCol w:w="2918"/>
      </w:tblGrid>
      <w:tr w:rsidR="00300DB2" w:rsidRPr="00EC6462" w14:paraId="6887AE2D" w14:textId="77777777" w:rsidTr="006C21F9">
        <w:trPr>
          <w:tblHeader/>
        </w:trPr>
        <w:tc>
          <w:tcPr>
            <w:tcW w:w="0" w:type="auto"/>
            <w:shd w:val="clear" w:color="auto" w:fill="748A96"/>
            <w:hideMark/>
          </w:tcPr>
          <w:p w14:paraId="1970B077" w14:textId="77777777" w:rsidR="00300DB2" w:rsidRPr="00EC6462" w:rsidRDefault="00300DB2" w:rsidP="006C21F9">
            <w:pPr>
              <w:spacing w:before="120" w:after="120"/>
              <w:jc w:val="both"/>
              <w:rPr>
                <w:rFonts w:ascii="Kohinoor Devanagari" w:hAnsi="Kohinoor Devanagari" w:cs="Kohinoor Devanagari"/>
                <w:b/>
                <w:bCs/>
                <w:color w:val="FFFFFF" w:themeColor="background1"/>
                <w:sz w:val="20"/>
                <w:szCs w:val="20"/>
              </w:rPr>
            </w:pPr>
            <w:r w:rsidRPr="00EC6462">
              <w:rPr>
                <w:rStyle w:val="Strong"/>
                <w:rFonts w:ascii="Kohinoor Devanagari" w:hAnsi="Kohinoor Devanagari" w:cs="Kohinoor Devanagari"/>
                <w:color w:val="FFFFFF" w:themeColor="background1"/>
                <w:sz w:val="20"/>
                <w:szCs w:val="20"/>
              </w:rPr>
              <w:t>Provision Area</w:t>
            </w:r>
          </w:p>
        </w:tc>
        <w:tc>
          <w:tcPr>
            <w:tcW w:w="0" w:type="auto"/>
            <w:shd w:val="clear" w:color="auto" w:fill="748A96"/>
            <w:hideMark/>
          </w:tcPr>
          <w:p w14:paraId="132E726A" w14:textId="77777777" w:rsidR="00300DB2" w:rsidRPr="00EC6462" w:rsidRDefault="00300DB2" w:rsidP="006C21F9">
            <w:pPr>
              <w:spacing w:before="120" w:after="120"/>
              <w:jc w:val="both"/>
              <w:rPr>
                <w:rFonts w:ascii="Kohinoor Devanagari" w:hAnsi="Kohinoor Devanagari" w:cs="Kohinoor Devanagari"/>
                <w:b/>
                <w:bCs/>
                <w:color w:val="FFFFFF" w:themeColor="background1"/>
                <w:sz w:val="20"/>
                <w:szCs w:val="20"/>
              </w:rPr>
            </w:pPr>
            <w:r w:rsidRPr="00EC6462">
              <w:rPr>
                <w:rStyle w:val="Strong"/>
                <w:rFonts w:ascii="Kohinoor Devanagari" w:hAnsi="Kohinoor Devanagari" w:cs="Kohinoor Devanagari"/>
                <w:color w:val="FFFFFF" w:themeColor="background1"/>
                <w:sz w:val="20"/>
                <w:szCs w:val="20"/>
              </w:rPr>
              <w:t>Relevant Articles</w:t>
            </w:r>
          </w:p>
        </w:tc>
        <w:tc>
          <w:tcPr>
            <w:tcW w:w="0" w:type="auto"/>
            <w:shd w:val="clear" w:color="auto" w:fill="748A96"/>
            <w:hideMark/>
          </w:tcPr>
          <w:p w14:paraId="77E81449" w14:textId="77777777" w:rsidR="00300DB2" w:rsidRPr="00EC6462" w:rsidRDefault="00300DB2" w:rsidP="006C21F9">
            <w:pPr>
              <w:spacing w:before="120" w:after="120"/>
              <w:jc w:val="both"/>
              <w:rPr>
                <w:rFonts w:ascii="Kohinoor Devanagari" w:hAnsi="Kohinoor Devanagari" w:cs="Kohinoor Devanagari"/>
                <w:b/>
                <w:bCs/>
                <w:color w:val="FFFFFF" w:themeColor="background1"/>
                <w:sz w:val="20"/>
                <w:szCs w:val="20"/>
              </w:rPr>
            </w:pPr>
            <w:r w:rsidRPr="00EC6462">
              <w:rPr>
                <w:rStyle w:val="Strong"/>
                <w:rFonts w:ascii="Kohinoor Devanagari" w:hAnsi="Kohinoor Devanagari" w:cs="Kohinoor Devanagari"/>
                <w:color w:val="FFFFFF" w:themeColor="background1"/>
                <w:sz w:val="20"/>
                <w:szCs w:val="20"/>
              </w:rPr>
              <w:t>Key Provisions</w:t>
            </w:r>
          </w:p>
        </w:tc>
        <w:tc>
          <w:tcPr>
            <w:tcW w:w="0" w:type="auto"/>
            <w:shd w:val="clear" w:color="auto" w:fill="748A96"/>
            <w:hideMark/>
          </w:tcPr>
          <w:p w14:paraId="1D5F352D" w14:textId="77777777" w:rsidR="00300DB2" w:rsidRPr="00EC6462" w:rsidRDefault="00300DB2" w:rsidP="006C21F9">
            <w:pPr>
              <w:spacing w:before="120" w:after="120"/>
              <w:jc w:val="both"/>
              <w:rPr>
                <w:rFonts w:ascii="Kohinoor Devanagari" w:hAnsi="Kohinoor Devanagari" w:cs="Kohinoor Devanagari"/>
                <w:b/>
                <w:bCs/>
                <w:color w:val="FFFFFF" w:themeColor="background1"/>
                <w:sz w:val="20"/>
                <w:szCs w:val="20"/>
              </w:rPr>
            </w:pPr>
            <w:r w:rsidRPr="00EC6462">
              <w:rPr>
                <w:rStyle w:val="Strong"/>
                <w:rFonts w:ascii="Kohinoor Devanagari" w:hAnsi="Kohinoor Devanagari" w:cs="Kohinoor Devanagari"/>
                <w:color w:val="FFFFFF" w:themeColor="background1"/>
                <w:sz w:val="20"/>
                <w:szCs w:val="20"/>
              </w:rPr>
              <w:t>Implications for Systematic Data Disclosure</w:t>
            </w:r>
          </w:p>
        </w:tc>
      </w:tr>
      <w:tr w:rsidR="00300DB2" w:rsidRPr="00EC6462" w14:paraId="5FFB01E3" w14:textId="77777777" w:rsidTr="006C21F9">
        <w:tc>
          <w:tcPr>
            <w:tcW w:w="0" w:type="auto"/>
            <w:hideMark/>
          </w:tcPr>
          <w:p w14:paraId="3831E258" w14:textId="77777777" w:rsidR="00300DB2" w:rsidRPr="00EC6462" w:rsidRDefault="00300DB2" w:rsidP="00E64526">
            <w:pPr>
              <w:spacing w:before="120" w:after="120"/>
              <w:rPr>
                <w:rFonts w:ascii="Kohinoor Devanagari" w:hAnsi="Kohinoor Devanagari" w:cs="Kohinoor Devanagari"/>
                <w:sz w:val="20"/>
                <w:szCs w:val="20"/>
              </w:rPr>
            </w:pPr>
            <w:r w:rsidRPr="00EC6462">
              <w:rPr>
                <w:rStyle w:val="Strong"/>
                <w:rFonts w:ascii="Kohinoor Devanagari" w:hAnsi="Kohinoor Devanagari" w:cs="Kohinoor Devanagari"/>
                <w:sz w:val="20"/>
                <w:szCs w:val="20"/>
              </w:rPr>
              <w:t>Governance and Oversight</w:t>
            </w:r>
          </w:p>
        </w:tc>
        <w:tc>
          <w:tcPr>
            <w:tcW w:w="0" w:type="auto"/>
            <w:hideMark/>
          </w:tcPr>
          <w:p w14:paraId="6CC51651" w14:textId="77777777" w:rsidR="00300DB2" w:rsidRPr="00EC6462" w:rsidRDefault="00300DB2" w:rsidP="00E64526">
            <w:pPr>
              <w:spacing w:before="120" w:after="120"/>
              <w:rPr>
                <w:rFonts w:ascii="Kohinoor Devanagari" w:hAnsi="Kohinoor Devanagari" w:cs="Kohinoor Devanagari"/>
                <w:sz w:val="20"/>
                <w:szCs w:val="20"/>
              </w:rPr>
            </w:pPr>
            <w:r w:rsidRPr="00EC6462">
              <w:rPr>
                <w:rFonts w:ascii="Kohinoor Devanagari" w:hAnsi="Kohinoor Devanagari" w:cs="Kohinoor Devanagari"/>
                <w:sz w:val="20"/>
                <w:szCs w:val="20"/>
              </w:rPr>
              <w:t>Articles 19-26</w:t>
            </w:r>
          </w:p>
        </w:tc>
        <w:tc>
          <w:tcPr>
            <w:tcW w:w="0" w:type="auto"/>
            <w:hideMark/>
          </w:tcPr>
          <w:p w14:paraId="5FF62526" w14:textId="77777777" w:rsidR="00300DB2" w:rsidRPr="00EC6462" w:rsidRDefault="00300DB2" w:rsidP="00E64526">
            <w:pPr>
              <w:spacing w:before="120" w:after="120"/>
              <w:rPr>
                <w:rFonts w:ascii="Kohinoor Devanagari" w:hAnsi="Kohinoor Devanagari" w:cs="Kohinoor Devanagari"/>
                <w:sz w:val="20"/>
                <w:szCs w:val="20"/>
              </w:rPr>
            </w:pPr>
            <w:r w:rsidRPr="00EC6462">
              <w:rPr>
                <w:rFonts w:ascii="Kohinoor Devanagari" w:hAnsi="Kohinoor Devanagari" w:cs="Kohinoor Devanagari"/>
                <w:sz w:val="20"/>
                <w:szCs w:val="20"/>
              </w:rPr>
              <w:t>Defines the governance structure, including board composition and decision-making processes.</w:t>
            </w:r>
          </w:p>
        </w:tc>
        <w:tc>
          <w:tcPr>
            <w:tcW w:w="0" w:type="auto"/>
            <w:hideMark/>
          </w:tcPr>
          <w:p w14:paraId="00FC093C" w14:textId="77777777" w:rsidR="00300DB2" w:rsidRPr="00EC6462" w:rsidRDefault="00300DB2" w:rsidP="00E64526">
            <w:pPr>
              <w:spacing w:before="120" w:after="120"/>
              <w:rPr>
                <w:rFonts w:ascii="Kohinoor Devanagari" w:hAnsi="Kohinoor Devanagari" w:cs="Kohinoor Devanagari"/>
                <w:sz w:val="20"/>
                <w:szCs w:val="20"/>
              </w:rPr>
            </w:pPr>
            <w:r w:rsidRPr="00EC6462">
              <w:rPr>
                <w:rFonts w:ascii="Kohinoor Devanagari" w:hAnsi="Kohinoor Devanagari" w:cs="Kohinoor Devanagari"/>
                <w:sz w:val="20"/>
                <w:szCs w:val="20"/>
              </w:rPr>
              <w:t>Ensures internal oversight but lacks mandatory public disclosure of governance information.</w:t>
            </w:r>
          </w:p>
        </w:tc>
      </w:tr>
      <w:tr w:rsidR="00300DB2" w:rsidRPr="00EC6462" w14:paraId="7DA7CD54" w14:textId="77777777" w:rsidTr="006C21F9">
        <w:tc>
          <w:tcPr>
            <w:tcW w:w="0" w:type="auto"/>
            <w:hideMark/>
          </w:tcPr>
          <w:p w14:paraId="3B84390F" w14:textId="77777777" w:rsidR="00300DB2" w:rsidRPr="00EC6462" w:rsidRDefault="00300DB2" w:rsidP="00E64526">
            <w:pPr>
              <w:spacing w:before="120" w:after="120"/>
              <w:rPr>
                <w:rFonts w:ascii="Kohinoor Devanagari" w:hAnsi="Kohinoor Devanagari" w:cs="Kohinoor Devanagari"/>
                <w:sz w:val="20"/>
                <w:szCs w:val="20"/>
              </w:rPr>
            </w:pPr>
            <w:r w:rsidRPr="00EC6462">
              <w:rPr>
                <w:rStyle w:val="Strong"/>
                <w:rFonts w:ascii="Kohinoor Devanagari" w:hAnsi="Kohinoor Devanagari" w:cs="Kohinoor Devanagari"/>
                <w:sz w:val="20"/>
                <w:szCs w:val="20"/>
              </w:rPr>
              <w:t>Financial Relationship with the State</w:t>
            </w:r>
          </w:p>
        </w:tc>
        <w:tc>
          <w:tcPr>
            <w:tcW w:w="0" w:type="auto"/>
            <w:hideMark/>
          </w:tcPr>
          <w:p w14:paraId="5A8DC05A" w14:textId="77777777" w:rsidR="00300DB2" w:rsidRPr="00EC6462" w:rsidRDefault="00300DB2" w:rsidP="00E64526">
            <w:pPr>
              <w:spacing w:before="120" w:after="120"/>
              <w:rPr>
                <w:rFonts w:ascii="Kohinoor Devanagari" w:hAnsi="Kohinoor Devanagari" w:cs="Kohinoor Devanagari"/>
                <w:sz w:val="20"/>
                <w:szCs w:val="20"/>
              </w:rPr>
            </w:pPr>
            <w:r w:rsidRPr="00EC6462">
              <w:rPr>
                <w:rFonts w:ascii="Kohinoor Devanagari" w:hAnsi="Kohinoor Devanagari" w:cs="Kohinoor Devanagari"/>
                <w:sz w:val="20"/>
                <w:szCs w:val="20"/>
              </w:rPr>
              <w:t>Articles 8-10, 11</w:t>
            </w:r>
          </w:p>
        </w:tc>
        <w:tc>
          <w:tcPr>
            <w:tcW w:w="0" w:type="auto"/>
            <w:hideMark/>
          </w:tcPr>
          <w:p w14:paraId="0B19169D" w14:textId="77777777" w:rsidR="00300DB2" w:rsidRPr="00EC6462" w:rsidRDefault="00300DB2" w:rsidP="00E64526">
            <w:pPr>
              <w:spacing w:before="120" w:after="120"/>
              <w:rPr>
                <w:rFonts w:ascii="Kohinoor Devanagari" w:hAnsi="Kohinoor Devanagari" w:cs="Kohinoor Devanagari"/>
                <w:sz w:val="20"/>
                <w:szCs w:val="20"/>
              </w:rPr>
            </w:pPr>
            <w:r w:rsidRPr="00EC6462">
              <w:rPr>
                <w:rFonts w:ascii="Kohinoor Devanagari" w:hAnsi="Kohinoor Devanagari" w:cs="Kohinoor Devanagari"/>
                <w:sz w:val="20"/>
                <w:szCs w:val="20"/>
              </w:rPr>
              <w:t>SOEs receive capital from the state and must return a portion of profits to the Treasury.</w:t>
            </w:r>
          </w:p>
        </w:tc>
        <w:tc>
          <w:tcPr>
            <w:tcW w:w="0" w:type="auto"/>
            <w:hideMark/>
          </w:tcPr>
          <w:p w14:paraId="5C853750" w14:textId="77777777" w:rsidR="00300DB2" w:rsidRPr="00EC6462" w:rsidRDefault="00300DB2" w:rsidP="00E64526">
            <w:pPr>
              <w:spacing w:before="120" w:after="120"/>
              <w:rPr>
                <w:rFonts w:ascii="Kohinoor Devanagari" w:hAnsi="Kohinoor Devanagari" w:cs="Kohinoor Devanagari"/>
                <w:sz w:val="20"/>
                <w:szCs w:val="20"/>
              </w:rPr>
            </w:pPr>
            <w:r w:rsidRPr="00EC6462">
              <w:rPr>
                <w:rFonts w:ascii="Kohinoor Devanagari" w:hAnsi="Kohinoor Devanagari" w:cs="Kohinoor Devanagari"/>
                <w:sz w:val="20"/>
                <w:szCs w:val="20"/>
              </w:rPr>
              <w:t>No explicit requirement for systematic disclosure of state transfers and financial dependencies.</w:t>
            </w:r>
          </w:p>
        </w:tc>
      </w:tr>
      <w:tr w:rsidR="00300DB2" w:rsidRPr="00EC6462" w14:paraId="1F7725B3" w14:textId="77777777" w:rsidTr="006C21F9">
        <w:tc>
          <w:tcPr>
            <w:tcW w:w="0" w:type="auto"/>
            <w:hideMark/>
          </w:tcPr>
          <w:p w14:paraId="297D047B" w14:textId="77777777" w:rsidR="00300DB2" w:rsidRPr="00EC6462" w:rsidRDefault="00300DB2" w:rsidP="00E64526">
            <w:pPr>
              <w:spacing w:before="120" w:after="120"/>
              <w:rPr>
                <w:rFonts w:ascii="Kohinoor Devanagari" w:hAnsi="Kohinoor Devanagari" w:cs="Kohinoor Devanagari"/>
                <w:sz w:val="20"/>
                <w:szCs w:val="20"/>
              </w:rPr>
            </w:pPr>
            <w:r w:rsidRPr="00EC6462">
              <w:rPr>
                <w:rStyle w:val="Strong"/>
                <w:rFonts w:ascii="Kohinoor Devanagari" w:hAnsi="Kohinoor Devanagari" w:cs="Kohinoor Devanagari"/>
                <w:sz w:val="20"/>
                <w:szCs w:val="20"/>
              </w:rPr>
              <w:t>Financial Reporting and Auditing</w:t>
            </w:r>
          </w:p>
        </w:tc>
        <w:tc>
          <w:tcPr>
            <w:tcW w:w="0" w:type="auto"/>
            <w:hideMark/>
          </w:tcPr>
          <w:p w14:paraId="3C21AAFD" w14:textId="77777777" w:rsidR="00300DB2" w:rsidRPr="00EC6462" w:rsidRDefault="00300DB2" w:rsidP="00E64526">
            <w:pPr>
              <w:spacing w:before="120" w:after="120"/>
              <w:rPr>
                <w:rFonts w:ascii="Kohinoor Devanagari" w:hAnsi="Kohinoor Devanagari" w:cs="Kohinoor Devanagari"/>
                <w:sz w:val="20"/>
                <w:szCs w:val="20"/>
              </w:rPr>
            </w:pPr>
            <w:r w:rsidRPr="00EC6462">
              <w:rPr>
                <w:rFonts w:ascii="Kohinoor Devanagari" w:hAnsi="Kohinoor Devanagari" w:cs="Kohinoor Devanagari"/>
                <w:sz w:val="20"/>
                <w:szCs w:val="20"/>
              </w:rPr>
              <w:t>Articles</w:t>
            </w:r>
          </w:p>
          <w:p w14:paraId="72A9909C" w14:textId="77777777" w:rsidR="00300DB2" w:rsidRPr="00EC6462" w:rsidRDefault="00300DB2" w:rsidP="00E64526">
            <w:pPr>
              <w:spacing w:before="120" w:after="120"/>
              <w:rPr>
                <w:rFonts w:ascii="Kohinoor Devanagari" w:hAnsi="Kohinoor Devanagari" w:cs="Kohinoor Devanagari"/>
                <w:sz w:val="20"/>
                <w:szCs w:val="20"/>
              </w:rPr>
            </w:pPr>
            <w:r w:rsidRPr="00EC6462">
              <w:rPr>
                <w:rFonts w:ascii="Kohinoor Devanagari" w:hAnsi="Kohinoor Devanagari" w:cs="Kohinoor Devanagari"/>
                <w:sz w:val="20"/>
                <w:szCs w:val="20"/>
              </w:rPr>
              <w:t>25, 42</w:t>
            </w:r>
          </w:p>
        </w:tc>
        <w:tc>
          <w:tcPr>
            <w:tcW w:w="0" w:type="auto"/>
            <w:hideMark/>
          </w:tcPr>
          <w:p w14:paraId="6E1DB5AB" w14:textId="77777777" w:rsidR="00300DB2" w:rsidRPr="00EC6462" w:rsidRDefault="00300DB2" w:rsidP="00E64526">
            <w:pPr>
              <w:spacing w:before="120" w:after="120"/>
              <w:rPr>
                <w:rFonts w:ascii="Kohinoor Devanagari" w:hAnsi="Kohinoor Devanagari" w:cs="Kohinoor Devanagari"/>
                <w:sz w:val="20"/>
                <w:szCs w:val="20"/>
              </w:rPr>
            </w:pPr>
            <w:r w:rsidRPr="00EC6462">
              <w:rPr>
                <w:rFonts w:ascii="Kohinoor Devanagari" w:hAnsi="Kohinoor Devanagari" w:cs="Kohinoor Devanagari"/>
                <w:sz w:val="20"/>
                <w:szCs w:val="20"/>
              </w:rPr>
              <w:t>Mandates the preparation of financial statements audited by the Federal Board of Supreme Audit.</w:t>
            </w:r>
          </w:p>
        </w:tc>
        <w:tc>
          <w:tcPr>
            <w:tcW w:w="0" w:type="auto"/>
            <w:hideMark/>
          </w:tcPr>
          <w:p w14:paraId="04CF4AD9" w14:textId="77777777" w:rsidR="00300DB2" w:rsidRPr="00EC6462" w:rsidRDefault="00300DB2" w:rsidP="00E64526">
            <w:pPr>
              <w:spacing w:before="120" w:after="120"/>
              <w:rPr>
                <w:rFonts w:ascii="Kohinoor Devanagari" w:hAnsi="Kohinoor Devanagari" w:cs="Kohinoor Devanagari"/>
                <w:sz w:val="20"/>
                <w:szCs w:val="20"/>
              </w:rPr>
            </w:pPr>
            <w:r w:rsidRPr="00EC6462">
              <w:rPr>
                <w:rFonts w:ascii="Kohinoor Devanagari" w:hAnsi="Kohinoor Devanagari" w:cs="Kohinoor Devanagari"/>
                <w:sz w:val="20"/>
                <w:szCs w:val="20"/>
              </w:rPr>
              <w:t>Audit results are submitted to authorities but not mandated for public release.</w:t>
            </w:r>
          </w:p>
        </w:tc>
      </w:tr>
      <w:tr w:rsidR="00300DB2" w:rsidRPr="00EC6462" w14:paraId="635B0DEB" w14:textId="77777777" w:rsidTr="006C21F9">
        <w:tc>
          <w:tcPr>
            <w:tcW w:w="0" w:type="auto"/>
            <w:hideMark/>
          </w:tcPr>
          <w:p w14:paraId="38EE06B7" w14:textId="77777777" w:rsidR="00300DB2" w:rsidRPr="00EC6462" w:rsidRDefault="00300DB2" w:rsidP="00E64526">
            <w:pPr>
              <w:spacing w:before="120" w:after="120"/>
              <w:rPr>
                <w:rFonts w:ascii="Kohinoor Devanagari" w:hAnsi="Kohinoor Devanagari" w:cs="Kohinoor Devanagari"/>
                <w:sz w:val="20"/>
                <w:szCs w:val="20"/>
              </w:rPr>
            </w:pPr>
            <w:r w:rsidRPr="00EC6462">
              <w:rPr>
                <w:rStyle w:val="Strong"/>
                <w:rFonts w:ascii="Kohinoor Devanagari" w:hAnsi="Kohinoor Devanagari" w:cs="Kohinoor Devanagari"/>
                <w:sz w:val="20"/>
                <w:szCs w:val="20"/>
              </w:rPr>
              <w:t>Investment and Retained Earnings Policy</w:t>
            </w:r>
          </w:p>
        </w:tc>
        <w:tc>
          <w:tcPr>
            <w:tcW w:w="0" w:type="auto"/>
            <w:hideMark/>
          </w:tcPr>
          <w:p w14:paraId="1E846749" w14:textId="77777777" w:rsidR="00300DB2" w:rsidRPr="00EC6462" w:rsidRDefault="00300DB2" w:rsidP="00E64526">
            <w:pPr>
              <w:spacing w:before="120" w:after="120"/>
              <w:rPr>
                <w:rFonts w:ascii="Kohinoor Devanagari" w:hAnsi="Kohinoor Devanagari" w:cs="Kohinoor Devanagari"/>
                <w:sz w:val="20"/>
                <w:szCs w:val="20"/>
              </w:rPr>
            </w:pPr>
            <w:r w:rsidRPr="00EC6462">
              <w:rPr>
                <w:rFonts w:ascii="Kohinoor Devanagari" w:hAnsi="Kohinoor Devanagari" w:cs="Kohinoor Devanagari"/>
                <w:sz w:val="20"/>
                <w:szCs w:val="20"/>
              </w:rPr>
              <w:t>Articles 15-18</w:t>
            </w:r>
          </w:p>
        </w:tc>
        <w:tc>
          <w:tcPr>
            <w:tcW w:w="0" w:type="auto"/>
            <w:hideMark/>
          </w:tcPr>
          <w:p w14:paraId="587B15F6" w14:textId="77777777" w:rsidR="00300DB2" w:rsidRPr="00EC6462" w:rsidRDefault="00300DB2" w:rsidP="00E64526">
            <w:pPr>
              <w:spacing w:before="120" w:after="120"/>
              <w:rPr>
                <w:rFonts w:ascii="Kohinoor Devanagari" w:hAnsi="Kohinoor Devanagari" w:cs="Kohinoor Devanagari"/>
                <w:sz w:val="20"/>
                <w:szCs w:val="20"/>
              </w:rPr>
            </w:pPr>
            <w:r w:rsidRPr="00EC6462">
              <w:rPr>
                <w:rFonts w:ascii="Kohinoor Devanagari" w:hAnsi="Kohinoor Devanagari" w:cs="Kohinoor Devanagari"/>
                <w:sz w:val="20"/>
                <w:szCs w:val="20"/>
              </w:rPr>
              <w:t>SOEs may invest surplus funds and enter into partnerships domestically and internationally.</w:t>
            </w:r>
          </w:p>
        </w:tc>
        <w:tc>
          <w:tcPr>
            <w:tcW w:w="0" w:type="auto"/>
            <w:hideMark/>
          </w:tcPr>
          <w:p w14:paraId="05067249" w14:textId="77777777" w:rsidR="00300DB2" w:rsidRPr="00EC6462" w:rsidRDefault="00300DB2" w:rsidP="00E64526">
            <w:pPr>
              <w:spacing w:before="120" w:after="120"/>
              <w:rPr>
                <w:rFonts w:ascii="Kohinoor Devanagari" w:hAnsi="Kohinoor Devanagari" w:cs="Kohinoor Devanagari"/>
                <w:sz w:val="20"/>
                <w:szCs w:val="20"/>
              </w:rPr>
            </w:pPr>
            <w:r w:rsidRPr="00EC6462">
              <w:rPr>
                <w:rFonts w:ascii="Kohinoor Devanagari" w:hAnsi="Kohinoor Devanagari" w:cs="Kohinoor Devanagari"/>
                <w:sz w:val="20"/>
                <w:szCs w:val="20"/>
              </w:rPr>
              <w:t>Investment decisions and financial returns are not required to be disclosed to the public.</w:t>
            </w:r>
          </w:p>
        </w:tc>
      </w:tr>
      <w:tr w:rsidR="00300DB2" w:rsidRPr="00EC6462" w14:paraId="30DAEB2C" w14:textId="77777777" w:rsidTr="006C21F9">
        <w:tc>
          <w:tcPr>
            <w:tcW w:w="0" w:type="auto"/>
            <w:hideMark/>
          </w:tcPr>
          <w:p w14:paraId="3731E170" w14:textId="77777777" w:rsidR="00300DB2" w:rsidRPr="00EC6462" w:rsidRDefault="00300DB2" w:rsidP="00E64526">
            <w:pPr>
              <w:spacing w:before="120" w:after="120"/>
              <w:rPr>
                <w:rFonts w:ascii="Kohinoor Devanagari" w:hAnsi="Kohinoor Devanagari" w:cs="Kohinoor Devanagari"/>
                <w:sz w:val="20"/>
                <w:szCs w:val="20"/>
              </w:rPr>
            </w:pPr>
            <w:r w:rsidRPr="00EC6462">
              <w:rPr>
                <w:rStyle w:val="Strong"/>
                <w:rFonts w:ascii="Kohinoor Devanagari" w:hAnsi="Kohinoor Devanagari" w:cs="Kohinoor Devanagari"/>
                <w:sz w:val="20"/>
                <w:szCs w:val="20"/>
              </w:rPr>
              <w:t>Participation in Contracts and Capital Holdings</w:t>
            </w:r>
          </w:p>
        </w:tc>
        <w:tc>
          <w:tcPr>
            <w:tcW w:w="0" w:type="auto"/>
            <w:hideMark/>
          </w:tcPr>
          <w:p w14:paraId="0FA26334" w14:textId="77777777" w:rsidR="00300DB2" w:rsidRPr="00EC6462" w:rsidRDefault="00300DB2" w:rsidP="00E64526">
            <w:pPr>
              <w:spacing w:before="120" w:after="120"/>
              <w:rPr>
                <w:rFonts w:ascii="Kohinoor Devanagari" w:hAnsi="Kohinoor Devanagari" w:cs="Kohinoor Devanagari"/>
                <w:sz w:val="20"/>
                <w:szCs w:val="20"/>
              </w:rPr>
            </w:pPr>
            <w:r w:rsidRPr="00EC6462">
              <w:rPr>
                <w:rFonts w:ascii="Kohinoor Devanagari" w:hAnsi="Kohinoor Devanagari" w:cs="Kohinoor Devanagari"/>
                <w:sz w:val="20"/>
                <w:szCs w:val="20"/>
              </w:rPr>
              <w:t>Articles 15, 17</w:t>
            </w:r>
          </w:p>
        </w:tc>
        <w:tc>
          <w:tcPr>
            <w:tcW w:w="0" w:type="auto"/>
            <w:hideMark/>
          </w:tcPr>
          <w:p w14:paraId="63C46960" w14:textId="77777777" w:rsidR="00300DB2" w:rsidRPr="00EC6462" w:rsidRDefault="00300DB2" w:rsidP="00E64526">
            <w:pPr>
              <w:spacing w:before="120" w:after="120"/>
              <w:rPr>
                <w:rFonts w:ascii="Kohinoor Devanagari" w:hAnsi="Kohinoor Devanagari" w:cs="Kohinoor Devanagari"/>
                <w:sz w:val="20"/>
                <w:szCs w:val="20"/>
              </w:rPr>
            </w:pPr>
            <w:r w:rsidRPr="00EC6462">
              <w:rPr>
                <w:rFonts w:ascii="Kohinoor Devanagari" w:hAnsi="Kohinoor Devanagari" w:cs="Kohinoor Devanagari"/>
                <w:sz w:val="20"/>
                <w:szCs w:val="20"/>
              </w:rPr>
              <w:t>Allows SOEs to acquire stakes in companies or contracts, with government approval for foreign investments.</w:t>
            </w:r>
          </w:p>
        </w:tc>
        <w:tc>
          <w:tcPr>
            <w:tcW w:w="0" w:type="auto"/>
            <w:hideMark/>
          </w:tcPr>
          <w:p w14:paraId="010B7D84" w14:textId="77777777" w:rsidR="00300DB2" w:rsidRPr="00EC6462" w:rsidRDefault="00300DB2" w:rsidP="00E64526">
            <w:pPr>
              <w:spacing w:before="120" w:after="120"/>
              <w:rPr>
                <w:rFonts w:ascii="Kohinoor Devanagari" w:hAnsi="Kohinoor Devanagari" w:cs="Kohinoor Devanagari"/>
                <w:sz w:val="20"/>
                <w:szCs w:val="20"/>
              </w:rPr>
            </w:pPr>
            <w:r w:rsidRPr="00EC6462">
              <w:rPr>
                <w:rFonts w:ascii="Kohinoor Devanagari" w:hAnsi="Kohinoor Devanagari" w:cs="Kohinoor Devanagari"/>
                <w:sz w:val="20"/>
                <w:szCs w:val="20"/>
              </w:rPr>
              <w:t>No obligation to disclose the level of ownership, cost coverage obligations, or related liabilities.</w:t>
            </w:r>
          </w:p>
        </w:tc>
      </w:tr>
      <w:tr w:rsidR="00300DB2" w:rsidRPr="00EC6462" w14:paraId="6DDF087D" w14:textId="77777777" w:rsidTr="006C21F9">
        <w:tc>
          <w:tcPr>
            <w:tcW w:w="0" w:type="auto"/>
            <w:hideMark/>
          </w:tcPr>
          <w:p w14:paraId="597CD5FE" w14:textId="77777777" w:rsidR="00300DB2" w:rsidRPr="00EC6462" w:rsidRDefault="00300DB2" w:rsidP="00E64526">
            <w:pPr>
              <w:spacing w:before="120" w:after="120"/>
              <w:rPr>
                <w:rFonts w:ascii="Kohinoor Devanagari" w:hAnsi="Kohinoor Devanagari" w:cs="Kohinoor Devanagari"/>
                <w:sz w:val="20"/>
                <w:szCs w:val="20"/>
              </w:rPr>
            </w:pPr>
            <w:r w:rsidRPr="00EC6462">
              <w:rPr>
                <w:rStyle w:val="Strong"/>
                <w:rFonts w:ascii="Kohinoor Devanagari" w:hAnsi="Kohinoor Devanagari" w:cs="Kohinoor Devanagari"/>
                <w:sz w:val="20"/>
                <w:szCs w:val="20"/>
              </w:rPr>
              <w:t>Trade and Barter Agreements</w:t>
            </w:r>
          </w:p>
        </w:tc>
        <w:tc>
          <w:tcPr>
            <w:tcW w:w="0" w:type="auto"/>
            <w:hideMark/>
          </w:tcPr>
          <w:p w14:paraId="252A62E7" w14:textId="77777777" w:rsidR="00300DB2" w:rsidRPr="00EC6462" w:rsidRDefault="00300DB2" w:rsidP="00E64526">
            <w:pPr>
              <w:spacing w:before="120" w:after="120"/>
              <w:rPr>
                <w:rFonts w:ascii="Kohinoor Devanagari" w:hAnsi="Kohinoor Devanagari" w:cs="Kohinoor Devanagari"/>
                <w:sz w:val="20"/>
                <w:szCs w:val="20"/>
              </w:rPr>
            </w:pPr>
            <w:r w:rsidRPr="00EC6462">
              <w:rPr>
                <w:rFonts w:ascii="Kohinoor Devanagari" w:hAnsi="Kohinoor Devanagari" w:cs="Kohinoor Devanagari"/>
                <w:sz w:val="20"/>
                <w:szCs w:val="20"/>
              </w:rPr>
              <w:t>Article 15</w:t>
            </w:r>
          </w:p>
        </w:tc>
        <w:tc>
          <w:tcPr>
            <w:tcW w:w="0" w:type="auto"/>
            <w:hideMark/>
          </w:tcPr>
          <w:p w14:paraId="6621102E" w14:textId="77777777" w:rsidR="00300DB2" w:rsidRPr="00EC6462" w:rsidRDefault="00300DB2" w:rsidP="00E64526">
            <w:pPr>
              <w:spacing w:before="120" w:after="120"/>
              <w:rPr>
                <w:rFonts w:ascii="Kohinoor Devanagari" w:hAnsi="Kohinoor Devanagari" w:cs="Kohinoor Devanagari"/>
                <w:sz w:val="20"/>
                <w:szCs w:val="20"/>
              </w:rPr>
            </w:pPr>
            <w:r w:rsidRPr="00EC6462">
              <w:rPr>
                <w:rFonts w:ascii="Kohinoor Devanagari" w:hAnsi="Kohinoor Devanagari" w:cs="Kohinoor Devanagari"/>
                <w:sz w:val="20"/>
                <w:szCs w:val="20"/>
              </w:rPr>
              <w:t>Permits SOEs to engage in trade agreements, including barter transactions with foreign entities.</w:t>
            </w:r>
          </w:p>
        </w:tc>
        <w:tc>
          <w:tcPr>
            <w:tcW w:w="0" w:type="auto"/>
            <w:hideMark/>
          </w:tcPr>
          <w:p w14:paraId="1D76B3DE" w14:textId="77777777" w:rsidR="00300DB2" w:rsidRPr="00EC6462" w:rsidRDefault="00300DB2" w:rsidP="00E64526">
            <w:pPr>
              <w:spacing w:before="120" w:after="120"/>
              <w:rPr>
                <w:rFonts w:ascii="Kohinoor Devanagari" w:hAnsi="Kohinoor Devanagari" w:cs="Kohinoor Devanagari"/>
                <w:sz w:val="20"/>
                <w:szCs w:val="20"/>
              </w:rPr>
            </w:pPr>
            <w:r w:rsidRPr="00EC6462">
              <w:rPr>
                <w:rFonts w:ascii="Kohinoor Devanagari" w:hAnsi="Kohinoor Devanagari" w:cs="Kohinoor Devanagari"/>
                <w:sz w:val="20"/>
                <w:szCs w:val="20"/>
              </w:rPr>
              <w:t>Absence of requirements for public disclosure of barter terms, risks, and financial impacts.</w:t>
            </w:r>
          </w:p>
        </w:tc>
      </w:tr>
      <w:tr w:rsidR="00300DB2" w:rsidRPr="00EC6462" w14:paraId="3D24A123" w14:textId="77777777" w:rsidTr="006C21F9">
        <w:tc>
          <w:tcPr>
            <w:tcW w:w="0" w:type="auto"/>
            <w:hideMark/>
          </w:tcPr>
          <w:p w14:paraId="20559022" w14:textId="77777777" w:rsidR="00300DB2" w:rsidRPr="00EC6462" w:rsidRDefault="00300DB2" w:rsidP="00E64526">
            <w:pPr>
              <w:spacing w:before="120" w:after="120"/>
              <w:rPr>
                <w:rFonts w:ascii="Kohinoor Devanagari" w:hAnsi="Kohinoor Devanagari" w:cs="Kohinoor Devanagari"/>
                <w:sz w:val="20"/>
                <w:szCs w:val="20"/>
              </w:rPr>
            </w:pPr>
            <w:r w:rsidRPr="00EC6462">
              <w:rPr>
                <w:rStyle w:val="Strong"/>
                <w:rFonts w:ascii="Kohinoor Devanagari" w:hAnsi="Kohinoor Devanagari" w:cs="Kohinoor Devanagari"/>
                <w:sz w:val="20"/>
                <w:szCs w:val="20"/>
              </w:rPr>
              <w:lastRenderedPageBreak/>
              <w:t>Guarantees and Financial Liabilities</w:t>
            </w:r>
          </w:p>
        </w:tc>
        <w:tc>
          <w:tcPr>
            <w:tcW w:w="0" w:type="auto"/>
            <w:hideMark/>
          </w:tcPr>
          <w:p w14:paraId="0D873169" w14:textId="77777777" w:rsidR="00300DB2" w:rsidRPr="00EC6462" w:rsidRDefault="00300DB2" w:rsidP="00E64526">
            <w:pPr>
              <w:spacing w:before="120" w:after="120"/>
              <w:rPr>
                <w:rFonts w:ascii="Kohinoor Devanagari" w:hAnsi="Kohinoor Devanagari" w:cs="Kohinoor Devanagari"/>
                <w:sz w:val="20"/>
                <w:szCs w:val="20"/>
              </w:rPr>
            </w:pPr>
            <w:r w:rsidRPr="00EC6462">
              <w:rPr>
                <w:rFonts w:ascii="Kohinoor Devanagari" w:hAnsi="Kohinoor Devanagari" w:cs="Kohinoor Devanagari"/>
                <w:sz w:val="20"/>
                <w:szCs w:val="20"/>
              </w:rPr>
              <w:t>Articles 17-18</w:t>
            </w:r>
          </w:p>
        </w:tc>
        <w:tc>
          <w:tcPr>
            <w:tcW w:w="0" w:type="auto"/>
            <w:hideMark/>
          </w:tcPr>
          <w:p w14:paraId="167F4072" w14:textId="77777777" w:rsidR="00300DB2" w:rsidRPr="00EC6462" w:rsidRDefault="00300DB2" w:rsidP="00E64526">
            <w:pPr>
              <w:spacing w:before="120" w:after="120"/>
              <w:rPr>
                <w:rFonts w:ascii="Kohinoor Devanagari" w:hAnsi="Kohinoor Devanagari" w:cs="Kohinoor Devanagari"/>
                <w:sz w:val="20"/>
                <w:szCs w:val="20"/>
              </w:rPr>
            </w:pPr>
            <w:r w:rsidRPr="00EC6462">
              <w:rPr>
                <w:rFonts w:ascii="Kohinoor Devanagari" w:hAnsi="Kohinoor Devanagari" w:cs="Kohinoor Devanagari"/>
                <w:sz w:val="20"/>
                <w:szCs w:val="20"/>
              </w:rPr>
              <w:t>Authorizes SOEs to obtain financing and issue guarantees for investment projects within approved limits.</w:t>
            </w:r>
          </w:p>
        </w:tc>
        <w:tc>
          <w:tcPr>
            <w:tcW w:w="0" w:type="auto"/>
            <w:hideMark/>
          </w:tcPr>
          <w:p w14:paraId="2AD80AD7" w14:textId="77777777" w:rsidR="00300DB2" w:rsidRPr="00EC6462" w:rsidRDefault="00300DB2" w:rsidP="00E64526">
            <w:pPr>
              <w:spacing w:before="120" w:after="120"/>
              <w:rPr>
                <w:rFonts w:ascii="Kohinoor Devanagari" w:hAnsi="Kohinoor Devanagari" w:cs="Kohinoor Devanagari"/>
                <w:sz w:val="20"/>
                <w:szCs w:val="20"/>
              </w:rPr>
            </w:pPr>
            <w:r w:rsidRPr="00EC6462">
              <w:rPr>
                <w:rFonts w:ascii="Kohinoor Devanagari" w:hAnsi="Kohinoor Devanagari" w:cs="Kohinoor Devanagari"/>
                <w:sz w:val="20"/>
                <w:szCs w:val="20"/>
              </w:rPr>
              <w:t>Lack of public reporting on financial guarantees and contingent liabilities.</w:t>
            </w:r>
          </w:p>
        </w:tc>
      </w:tr>
      <w:tr w:rsidR="00300DB2" w:rsidRPr="00EC6462" w14:paraId="30B4AA87" w14:textId="77777777" w:rsidTr="006C21F9">
        <w:tc>
          <w:tcPr>
            <w:tcW w:w="0" w:type="auto"/>
            <w:hideMark/>
          </w:tcPr>
          <w:p w14:paraId="41469D0C" w14:textId="77777777" w:rsidR="00300DB2" w:rsidRPr="00EC6462" w:rsidRDefault="00300DB2" w:rsidP="00E64526">
            <w:pPr>
              <w:spacing w:before="120" w:after="120"/>
              <w:rPr>
                <w:rFonts w:ascii="Kohinoor Devanagari" w:hAnsi="Kohinoor Devanagari" w:cs="Kohinoor Devanagari"/>
                <w:sz w:val="20"/>
                <w:szCs w:val="20"/>
              </w:rPr>
            </w:pPr>
            <w:r w:rsidRPr="00EC6462">
              <w:rPr>
                <w:rStyle w:val="Strong"/>
                <w:rFonts w:ascii="Kohinoor Devanagari" w:hAnsi="Kohinoor Devanagari" w:cs="Kohinoor Devanagari"/>
                <w:sz w:val="20"/>
                <w:szCs w:val="20"/>
              </w:rPr>
              <w:t>Social and Quasi-Fiscal Expenditures</w:t>
            </w:r>
          </w:p>
        </w:tc>
        <w:tc>
          <w:tcPr>
            <w:tcW w:w="0" w:type="auto"/>
            <w:hideMark/>
          </w:tcPr>
          <w:p w14:paraId="4D03AD53" w14:textId="77777777" w:rsidR="00300DB2" w:rsidRPr="00EC6462" w:rsidRDefault="00300DB2" w:rsidP="00E64526">
            <w:pPr>
              <w:spacing w:before="120" w:after="120"/>
              <w:rPr>
                <w:rFonts w:ascii="Kohinoor Devanagari" w:hAnsi="Kohinoor Devanagari" w:cs="Kohinoor Devanagari"/>
                <w:sz w:val="20"/>
                <w:szCs w:val="20"/>
              </w:rPr>
            </w:pPr>
            <w:r w:rsidRPr="00EC6462">
              <w:rPr>
                <w:rFonts w:ascii="Kohinoor Devanagari" w:hAnsi="Kohinoor Devanagari" w:cs="Kohinoor Devanagari"/>
                <w:sz w:val="20"/>
                <w:szCs w:val="20"/>
              </w:rPr>
              <w:t>Article 11</w:t>
            </w:r>
          </w:p>
        </w:tc>
        <w:tc>
          <w:tcPr>
            <w:tcW w:w="0" w:type="auto"/>
            <w:hideMark/>
          </w:tcPr>
          <w:p w14:paraId="211D2C6F" w14:textId="77777777" w:rsidR="00300DB2" w:rsidRPr="00EC6462" w:rsidRDefault="00300DB2" w:rsidP="00E64526">
            <w:pPr>
              <w:spacing w:before="120" w:after="120"/>
              <w:rPr>
                <w:rFonts w:ascii="Kohinoor Devanagari" w:hAnsi="Kohinoor Devanagari" w:cs="Kohinoor Devanagari"/>
                <w:sz w:val="20"/>
                <w:szCs w:val="20"/>
              </w:rPr>
            </w:pPr>
            <w:r w:rsidRPr="00EC6462">
              <w:rPr>
                <w:rFonts w:ascii="Kohinoor Devanagari" w:hAnsi="Kohinoor Devanagari" w:cs="Kohinoor Devanagari"/>
                <w:sz w:val="20"/>
                <w:szCs w:val="20"/>
              </w:rPr>
              <w:t>A portion of SOE profits is allocated to employee benefits, social services, and infrastructure projects.</w:t>
            </w:r>
          </w:p>
        </w:tc>
        <w:tc>
          <w:tcPr>
            <w:tcW w:w="0" w:type="auto"/>
            <w:hideMark/>
          </w:tcPr>
          <w:p w14:paraId="773E6BA6" w14:textId="77777777" w:rsidR="00300DB2" w:rsidRPr="00EC6462" w:rsidRDefault="00300DB2" w:rsidP="00E64526">
            <w:pPr>
              <w:spacing w:before="120" w:after="120"/>
              <w:rPr>
                <w:rFonts w:ascii="Kohinoor Devanagari" w:hAnsi="Kohinoor Devanagari" w:cs="Kohinoor Devanagari"/>
                <w:sz w:val="20"/>
                <w:szCs w:val="20"/>
              </w:rPr>
            </w:pPr>
            <w:r w:rsidRPr="00EC6462">
              <w:rPr>
                <w:rFonts w:ascii="Kohinoor Devanagari" w:hAnsi="Kohinoor Devanagari" w:cs="Kohinoor Devanagari"/>
                <w:sz w:val="20"/>
                <w:szCs w:val="20"/>
              </w:rPr>
              <w:t>No detailed disclosure of specific expenditures or their impact on public resources.</w:t>
            </w:r>
          </w:p>
        </w:tc>
      </w:tr>
    </w:tbl>
    <w:p w14:paraId="1DFED430" w14:textId="77777777" w:rsidR="00300DB2" w:rsidRPr="00A3573B" w:rsidRDefault="00300DB2" w:rsidP="00FD2B68">
      <w:pPr>
        <w:pStyle w:val="ListParagraph"/>
        <w:numPr>
          <w:ilvl w:val="0"/>
          <w:numId w:val="7"/>
        </w:numPr>
        <w:spacing w:before="120" w:after="120" w:line="240" w:lineRule="auto"/>
        <w:jc w:val="both"/>
        <w:rPr>
          <w:rFonts w:ascii="Kohinoor Devanagari" w:hAnsi="Kohinoor Devanagari" w:cs="Kohinoor Devanagari"/>
          <w:b/>
          <w:bCs/>
          <w:i/>
          <w:iCs/>
          <w:sz w:val="22"/>
          <w:szCs w:val="22"/>
          <w:lang w:eastAsia="en-GB"/>
        </w:rPr>
      </w:pPr>
      <w:r w:rsidRPr="00A3573B">
        <w:rPr>
          <w:rFonts w:ascii="Kohinoor Devanagari" w:hAnsi="Kohinoor Devanagari" w:cs="Kohinoor Devanagari"/>
          <w:b/>
          <w:bCs/>
          <w:i/>
          <w:iCs/>
          <w:sz w:val="22"/>
          <w:szCs w:val="22"/>
          <w:lang w:eastAsia="en-GB"/>
        </w:rPr>
        <w:t>Challenges and Limitations</w:t>
      </w:r>
    </w:p>
    <w:p w14:paraId="541EF26E" w14:textId="77777777" w:rsidR="00300DB2" w:rsidRPr="00A3573B" w:rsidRDefault="00300DB2" w:rsidP="00300DB2">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Several challenges could impact the systematic disclosure of SOE data in compliance with the EITI Standard:</w:t>
      </w:r>
    </w:p>
    <w:p w14:paraId="42473A41" w14:textId="77777777" w:rsidR="00300DB2" w:rsidRPr="00A3573B" w:rsidRDefault="00300DB2" w:rsidP="00FD2B68">
      <w:pPr>
        <w:pStyle w:val="ListParagraph"/>
        <w:numPr>
          <w:ilvl w:val="0"/>
          <w:numId w:val="11"/>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Lack of Public Disclosure Requirements:</w:t>
      </w:r>
      <w:r w:rsidRPr="00A3573B">
        <w:rPr>
          <w:rFonts w:ascii="Kohinoor Devanagari" w:hAnsi="Kohinoor Devanagari" w:cs="Kohinoor Devanagari"/>
          <w:sz w:val="22"/>
          <w:szCs w:val="22"/>
          <w:lang w:eastAsia="en-GB"/>
        </w:rPr>
        <w:t xml:space="preserve"> The law mandates financial reporting to government entities but does not require public disclosure of critical information, such as Ownership stakes in extractive contracts and associated cost obligations, trade agreements (barter deals) and their financial impacts and guarantees and collateral provided for financing purposes.</w:t>
      </w:r>
    </w:p>
    <w:p w14:paraId="4192B6B7" w14:textId="77777777" w:rsidR="00300DB2" w:rsidRPr="00A3573B" w:rsidRDefault="00300DB2" w:rsidP="00FD2B68">
      <w:pPr>
        <w:pStyle w:val="ListParagraph"/>
        <w:numPr>
          <w:ilvl w:val="0"/>
          <w:numId w:val="11"/>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Opacity in Investment and Financial Commitments:</w:t>
      </w:r>
      <w:r w:rsidRPr="00A3573B">
        <w:rPr>
          <w:rFonts w:ascii="Kohinoor Devanagari" w:hAnsi="Kohinoor Devanagari" w:cs="Kohinoor Devanagari"/>
          <w:sz w:val="22"/>
          <w:szCs w:val="22"/>
          <w:lang w:eastAsia="en-GB"/>
        </w:rPr>
        <w:t xml:space="preserve"> Investments made in local and foreign ventures are not subject to routine public scrutiny.</w:t>
      </w:r>
    </w:p>
    <w:p w14:paraId="347861EC" w14:textId="77777777" w:rsidR="00300DB2" w:rsidRPr="00A3573B" w:rsidRDefault="00300DB2" w:rsidP="00FD2B68">
      <w:pPr>
        <w:pStyle w:val="ListParagraph"/>
        <w:numPr>
          <w:ilvl w:val="0"/>
          <w:numId w:val="11"/>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Weak Oversight Mechanisms for Social and Quasi-Fiscal Expenditures:</w:t>
      </w:r>
      <w:r w:rsidRPr="00A3573B">
        <w:rPr>
          <w:rFonts w:ascii="Kohinoor Devanagari" w:hAnsi="Kohinoor Devanagari" w:cs="Kohinoor Devanagari"/>
          <w:sz w:val="22"/>
          <w:szCs w:val="22"/>
          <w:lang w:eastAsia="en-GB"/>
        </w:rPr>
        <w:t xml:space="preserve"> While SOEs allocate funds for social initiatives, there is no obligation to publish details about the nature, beneficiaries, and effectiveness of such spending.</w:t>
      </w:r>
    </w:p>
    <w:p w14:paraId="0951739A" w14:textId="77777777" w:rsidR="00300DB2" w:rsidRDefault="00300DB2" w:rsidP="00FD2B68">
      <w:pPr>
        <w:pStyle w:val="ListParagraph"/>
        <w:numPr>
          <w:ilvl w:val="0"/>
          <w:numId w:val="11"/>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Limited Accessibility to Audit Findings:</w:t>
      </w:r>
      <w:r w:rsidRPr="00A3573B">
        <w:rPr>
          <w:rFonts w:ascii="Kohinoor Devanagari" w:hAnsi="Kohinoor Devanagari" w:cs="Kohinoor Devanagari"/>
          <w:sz w:val="22"/>
          <w:szCs w:val="22"/>
          <w:lang w:eastAsia="en-GB"/>
        </w:rPr>
        <w:t xml:space="preserve"> Audit reports are conducted but not proactively published, limiting public access to financial performance and compliance information.</w:t>
      </w:r>
    </w:p>
    <w:p w14:paraId="4BF3FB5F" w14:textId="77777777" w:rsidR="00AA178E" w:rsidRPr="00AA178E" w:rsidRDefault="00AA178E" w:rsidP="009F7FDD">
      <w:pPr>
        <w:pStyle w:val="Heading3"/>
        <w:numPr>
          <w:ilvl w:val="2"/>
          <w:numId w:val="74"/>
        </w:numPr>
        <w:spacing w:before="120" w:after="120" w:line="240" w:lineRule="auto"/>
        <w:ind w:left="567" w:hanging="567"/>
        <w:jc w:val="both"/>
        <w:rPr>
          <w:rFonts w:ascii="Kohinoor Devanagari" w:hAnsi="Kohinoor Devanagari" w:cs="Kohinoor Devanagari"/>
          <w:b/>
          <w:bCs/>
          <w:sz w:val="22"/>
          <w:szCs w:val="22"/>
          <w:lang w:eastAsia="en-GB"/>
        </w:rPr>
      </w:pPr>
      <w:r w:rsidRPr="00BE1C69">
        <w:rPr>
          <w:rFonts w:ascii="Kohinoor Devanagari" w:hAnsi="Kohinoor Devanagari" w:cs="Kohinoor Devanagari"/>
          <w:b/>
          <w:bCs/>
          <w:sz w:val="22"/>
          <w:szCs w:val="22"/>
          <w:lang w:eastAsia="en-GB"/>
        </w:rPr>
        <w:t>Council of Ministers Decree No. 86 of 2024</w:t>
      </w:r>
    </w:p>
    <w:p w14:paraId="09896353" w14:textId="0A433669" w:rsidR="00AA178E" w:rsidRPr="00BE1C69" w:rsidRDefault="00AA178E" w:rsidP="00AA178E">
      <w:pPr>
        <w:spacing w:before="120" w:after="120" w:line="240" w:lineRule="auto"/>
        <w:jc w:val="both"/>
        <w:rPr>
          <w:rFonts w:ascii="Kohinoor Devanagari" w:hAnsi="Kohinoor Devanagari" w:cs="Kohinoor Devanagari"/>
          <w:sz w:val="22"/>
          <w:szCs w:val="22"/>
          <w:lang w:eastAsia="en-GB"/>
        </w:rPr>
      </w:pPr>
      <w:r w:rsidRPr="00BE1C69">
        <w:rPr>
          <w:rFonts w:ascii="Kohinoor Devanagari" w:hAnsi="Kohinoor Devanagari" w:cs="Kohinoor Devanagari"/>
          <w:sz w:val="22"/>
          <w:szCs w:val="22"/>
          <w:lang w:eastAsia="en-GB"/>
        </w:rPr>
        <w:t xml:space="preserve">The Council of Ministers Decree No. 86 of 2024 reinforces Iraq’s commitment to transparency in the extractive sector, aligning national practices with the </w:t>
      </w:r>
      <w:r>
        <w:rPr>
          <w:rFonts w:ascii="Kohinoor Devanagari" w:hAnsi="Kohinoor Devanagari" w:cs="Kohinoor Devanagari"/>
          <w:sz w:val="22"/>
          <w:szCs w:val="22"/>
          <w:lang w:eastAsia="en-GB"/>
        </w:rPr>
        <w:t xml:space="preserve">EITI </w:t>
      </w:r>
      <w:r w:rsidRPr="00BE1C69">
        <w:rPr>
          <w:rFonts w:ascii="Kohinoor Devanagari" w:hAnsi="Kohinoor Devanagari" w:cs="Kohinoor Devanagari"/>
          <w:sz w:val="22"/>
          <w:szCs w:val="22"/>
          <w:lang w:eastAsia="en-GB"/>
        </w:rPr>
        <w:t>Standard. The decree addresses longstanding gaps in funding, institutional cooperation, and systematic disclosures, aiming to strengthen governance and public trust in resource management.</w:t>
      </w:r>
    </w:p>
    <w:p w14:paraId="7B3C692D" w14:textId="77777777" w:rsidR="00857C16" w:rsidRDefault="00857C16">
      <w:pPr>
        <w:rPr>
          <w:rFonts w:ascii="Kohinoor Devanagari" w:hAnsi="Kohinoor Devanagari" w:cs="Kohinoor Devanagari"/>
          <w:b/>
          <w:bCs/>
          <w:i/>
          <w:iCs/>
          <w:sz w:val="22"/>
          <w:szCs w:val="22"/>
          <w:lang w:eastAsia="en-GB"/>
        </w:rPr>
      </w:pPr>
      <w:r>
        <w:rPr>
          <w:rFonts w:ascii="Kohinoor Devanagari" w:hAnsi="Kohinoor Devanagari" w:cs="Kohinoor Devanagari"/>
          <w:b/>
          <w:bCs/>
          <w:i/>
          <w:iCs/>
          <w:sz w:val="22"/>
          <w:szCs w:val="22"/>
          <w:lang w:eastAsia="en-GB"/>
        </w:rPr>
        <w:br w:type="page"/>
      </w:r>
    </w:p>
    <w:p w14:paraId="26A3D6DB" w14:textId="2299A42F" w:rsidR="00AA178E" w:rsidRPr="00A3573B" w:rsidRDefault="00AA178E" w:rsidP="00AA178E">
      <w:pPr>
        <w:pStyle w:val="ListParagraph"/>
        <w:numPr>
          <w:ilvl w:val="0"/>
          <w:numId w:val="7"/>
        </w:numPr>
        <w:spacing w:before="120" w:after="120" w:line="240" w:lineRule="auto"/>
        <w:jc w:val="both"/>
        <w:rPr>
          <w:rFonts w:ascii="Kohinoor Devanagari" w:hAnsi="Kohinoor Devanagari" w:cs="Kohinoor Devanagari"/>
          <w:b/>
          <w:bCs/>
          <w:i/>
          <w:iCs/>
          <w:sz w:val="22"/>
          <w:szCs w:val="22"/>
          <w:lang w:eastAsia="en-GB"/>
        </w:rPr>
      </w:pPr>
      <w:r w:rsidRPr="00A3573B">
        <w:rPr>
          <w:rFonts w:ascii="Kohinoor Devanagari" w:hAnsi="Kohinoor Devanagari" w:cs="Kohinoor Devanagari"/>
          <w:b/>
          <w:bCs/>
          <w:i/>
          <w:iCs/>
          <w:sz w:val="22"/>
          <w:szCs w:val="22"/>
          <w:lang w:eastAsia="en-GB"/>
        </w:rPr>
        <w:lastRenderedPageBreak/>
        <w:t>Key Disclosure provisions</w:t>
      </w:r>
    </w:p>
    <w:p w14:paraId="6DCD83DC" w14:textId="760FF00B" w:rsidR="00AA178E" w:rsidRDefault="00B03DE8" w:rsidP="00B03DE8">
      <w:pPr>
        <w:spacing w:before="120" w:after="120" w:line="240" w:lineRule="auto"/>
        <w:jc w:val="both"/>
        <w:rPr>
          <w:rFonts w:ascii="Kohinoor Devanagari" w:hAnsi="Kohinoor Devanagari" w:cs="Kohinoor Devanagari"/>
          <w:sz w:val="22"/>
          <w:szCs w:val="22"/>
          <w:lang w:eastAsia="en-GB"/>
        </w:rPr>
      </w:pPr>
      <w:r w:rsidRPr="00B03DE8">
        <w:rPr>
          <w:rFonts w:ascii="Kohinoor Devanagari" w:hAnsi="Kohinoor Devanagari" w:cs="Kohinoor Devanagari"/>
          <w:sz w:val="22"/>
          <w:szCs w:val="22"/>
          <w:lang w:eastAsia="en-GB"/>
        </w:rPr>
        <w:t>Articles 12 and 13 introduce critical provisions aimed at institutionalizing transparency in Iraq’s extractive sector through the development and enforcement of disclosure policies aligned with the EITI Standard. These provisions formalize the roles of public entities in data transparency and set accountability mechanisms for non-compliance.</w:t>
      </w:r>
    </w:p>
    <w:tbl>
      <w:tblPr>
        <w:tblStyle w:val="TableGrid"/>
        <w:tblW w:w="0" w:type="auto"/>
        <w:tblBorders>
          <w:top w:val="single" w:sz="4" w:space="0" w:color="61BC4D"/>
          <w:left w:val="single" w:sz="4" w:space="0" w:color="61BC4D"/>
          <w:bottom w:val="single" w:sz="4" w:space="0" w:color="61BC4D"/>
          <w:right w:val="single" w:sz="4" w:space="0" w:color="61BC4D"/>
          <w:insideH w:val="single" w:sz="4" w:space="0" w:color="61BC4D"/>
          <w:insideV w:val="single" w:sz="4" w:space="0" w:color="61BC4D"/>
        </w:tblBorders>
        <w:tblLook w:val="04A0" w:firstRow="1" w:lastRow="0" w:firstColumn="1" w:lastColumn="0" w:noHBand="0" w:noVBand="1"/>
      </w:tblPr>
      <w:tblGrid>
        <w:gridCol w:w="1764"/>
        <w:gridCol w:w="828"/>
        <w:gridCol w:w="3108"/>
        <w:gridCol w:w="1568"/>
        <w:gridCol w:w="2070"/>
      </w:tblGrid>
      <w:tr w:rsidR="003265CF" w:rsidRPr="004D1398" w14:paraId="669A0A6A" w14:textId="77777777" w:rsidTr="00BE1C69">
        <w:trPr>
          <w:tblHeader/>
        </w:trPr>
        <w:tc>
          <w:tcPr>
            <w:tcW w:w="0" w:type="auto"/>
            <w:shd w:val="clear" w:color="auto" w:fill="748A96"/>
            <w:hideMark/>
          </w:tcPr>
          <w:p w14:paraId="735A81FC" w14:textId="77777777" w:rsidR="006523A1" w:rsidRPr="004D1398" w:rsidRDefault="006523A1" w:rsidP="006523A1">
            <w:pPr>
              <w:spacing w:before="120" w:after="120"/>
              <w:jc w:val="both"/>
              <w:rPr>
                <w:rFonts w:ascii="Kohinoor Devanagari" w:hAnsi="Kohinoor Devanagari" w:cs="Kohinoor Devanagari"/>
                <w:b/>
                <w:bCs/>
                <w:color w:val="FFFFFF" w:themeColor="background1"/>
                <w:sz w:val="20"/>
                <w:szCs w:val="20"/>
                <w:lang w:eastAsia="en-GB"/>
              </w:rPr>
            </w:pPr>
            <w:r w:rsidRPr="004D1398">
              <w:rPr>
                <w:rFonts w:ascii="Kohinoor Devanagari" w:hAnsi="Kohinoor Devanagari" w:cs="Kohinoor Devanagari"/>
                <w:b/>
                <w:bCs/>
                <w:color w:val="FFFFFF" w:themeColor="background1"/>
                <w:sz w:val="20"/>
                <w:szCs w:val="20"/>
                <w:lang w:eastAsia="en-GB"/>
              </w:rPr>
              <w:t>Theme</w:t>
            </w:r>
          </w:p>
        </w:tc>
        <w:tc>
          <w:tcPr>
            <w:tcW w:w="0" w:type="auto"/>
            <w:shd w:val="clear" w:color="auto" w:fill="748A96"/>
            <w:hideMark/>
          </w:tcPr>
          <w:p w14:paraId="7239895E" w14:textId="77777777" w:rsidR="006523A1" w:rsidRPr="004D1398" w:rsidRDefault="006523A1" w:rsidP="006523A1">
            <w:pPr>
              <w:spacing w:before="120" w:after="120"/>
              <w:jc w:val="both"/>
              <w:rPr>
                <w:rFonts w:ascii="Kohinoor Devanagari" w:hAnsi="Kohinoor Devanagari" w:cs="Kohinoor Devanagari"/>
                <w:b/>
                <w:bCs/>
                <w:color w:val="FFFFFF" w:themeColor="background1"/>
                <w:sz w:val="20"/>
                <w:szCs w:val="20"/>
                <w:lang w:eastAsia="en-GB"/>
              </w:rPr>
            </w:pPr>
            <w:r w:rsidRPr="004D1398">
              <w:rPr>
                <w:rFonts w:ascii="Kohinoor Devanagari" w:hAnsi="Kohinoor Devanagari" w:cs="Kohinoor Devanagari"/>
                <w:b/>
                <w:bCs/>
                <w:color w:val="FFFFFF" w:themeColor="background1"/>
                <w:sz w:val="20"/>
                <w:szCs w:val="20"/>
                <w:lang w:eastAsia="en-GB"/>
              </w:rPr>
              <w:t>Article</w:t>
            </w:r>
          </w:p>
        </w:tc>
        <w:tc>
          <w:tcPr>
            <w:tcW w:w="0" w:type="auto"/>
            <w:shd w:val="clear" w:color="auto" w:fill="748A96"/>
            <w:hideMark/>
          </w:tcPr>
          <w:p w14:paraId="2457DFD9" w14:textId="77777777" w:rsidR="006523A1" w:rsidRPr="004D1398" w:rsidRDefault="006523A1" w:rsidP="006523A1">
            <w:pPr>
              <w:spacing w:before="120" w:after="120"/>
              <w:jc w:val="both"/>
              <w:rPr>
                <w:rFonts w:ascii="Kohinoor Devanagari" w:hAnsi="Kohinoor Devanagari" w:cs="Kohinoor Devanagari"/>
                <w:b/>
                <w:bCs/>
                <w:color w:val="FFFFFF" w:themeColor="background1"/>
                <w:sz w:val="20"/>
                <w:szCs w:val="20"/>
                <w:lang w:eastAsia="en-GB"/>
              </w:rPr>
            </w:pPr>
            <w:r w:rsidRPr="004D1398">
              <w:rPr>
                <w:rFonts w:ascii="Kohinoor Devanagari" w:hAnsi="Kohinoor Devanagari" w:cs="Kohinoor Devanagari"/>
                <w:b/>
                <w:bCs/>
                <w:color w:val="FFFFFF" w:themeColor="background1"/>
                <w:sz w:val="20"/>
                <w:szCs w:val="20"/>
                <w:lang w:eastAsia="en-GB"/>
              </w:rPr>
              <w:t>Provision / Obligation</w:t>
            </w:r>
          </w:p>
        </w:tc>
        <w:tc>
          <w:tcPr>
            <w:tcW w:w="0" w:type="auto"/>
            <w:shd w:val="clear" w:color="auto" w:fill="748A96"/>
            <w:hideMark/>
          </w:tcPr>
          <w:p w14:paraId="5A3355AE" w14:textId="77777777" w:rsidR="006523A1" w:rsidRPr="004D1398" w:rsidRDefault="006523A1" w:rsidP="006523A1">
            <w:pPr>
              <w:spacing w:before="120" w:after="120"/>
              <w:jc w:val="both"/>
              <w:rPr>
                <w:rFonts w:ascii="Kohinoor Devanagari" w:hAnsi="Kohinoor Devanagari" w:cs="Kohinoor Devanagari"/>
                <w:b/>
                <w:bCs/>
                <w:color w:val="FFFFFF" w:themeColor="background1"/>
                <w:sz w:val="20"/>
                <w:szCs w:val="20"/>
                <w:lang w:eastAsia="en-GB"/>
              </w:rPr>
            </w:pPr>
            <w:r w:rsidRPr="004D1398">
              <w:rPr>
                <w:rFonts w:ascii="Kohinoor Devanagari" w:hAnsi="Kohinoor Devanagari" w:cs="Kohinoor Devanagari"/>
                <w:b/>
                <w:bCs/>
                <w:color w:val="FFFFFF" w:themeColor="background1"/>
                <w:sz w:val="20"/>
                <w:szCs w:val="20"/>
                <w:lang w:eastAsia="en-GB"/>
              </w:rPr>
              <w:t>Responsible Entity</w:t>
            </w:r>
          </w:p>
        </w:tc>
        <w:tc>
          <w:tcPr>
            <w:tcW w:w="0" w:type="auto"/>
            <w:shd w:val="clear" w:color="auto" w:fill="748A96"/>
            <w:hideMark/>
          </w:tcPr>
          <w:p w14:paraId="7E6AE9D8" w14:textId="77777777" w:rsidR="006523A1" w:rsidRPr="004D1398" w:rsidRDefault="006523A1" w:rsidP="006523A1">
            <w:pPr>
              <w:spacing w:before="120" w:after="120"/>
              <w:jc w:val="both"/>
              <w:rPr>
                <w:rFonts w:ascii="Kohinoor Devanagari" w:hAnsi="Kohinoor Devanagari" w:cs="Kohinoor Devanagari"/>
                <w:b/>
                <w:bCs/>
                <w:color w:val="FFFFFF" w:themeColor="background1"/>
                <w:sz w:val="20"/>
                <w:szCs w:val="20"/>
                <w:lang w:eastAsia="en-GB"/>
              </w:rPr>
            </w:pPr>
            <w:r w:rsidRPr="004D1398">
              <w:rPr>
                <w:rFonts w:ascii="Kohinoor Devanagari" w:hAnsi="Kohinoor Devanagari" w:cs="Kohinoor Devanagari"/>
                <w:b/>
                <w:bCs/>
                <w:color w:val="FFFFFF" w:themeColor="background1"/>
                <w:sz w:val="20"/>
                <w:szCs w:val="20"/>
                <w:lang w:eastAsia="en-GB"/>
              </w:rPr>
              <w:t>Objective</w:t>
            </w:r>
          </w:p>
        </w:tc>
      </w:tr>
      <w:tr w:rsidR="006523A1" w:rsidRPr="004D1398" w14:paraId="1AD13CCA" w14:textId="77777777" w:rsidTr="00BE1C69">
        <w:tc>
          <w:tcPr>
            <w:tcW w:w="0" w:type="auto"/>
            <w:hideMark/>
          </w:tcPr>
          <w:p w14:paraId="3E8E6398" w14:textId="77777777" w:rsidR="006523A1" w:rsidRPr="004D1398" w:rsidRDefault="006523A1" w:rsidP="006523A1">
            <w:pPr>
              <w:spacing w:before="120" w:after="120"/>
              <w:jc w:val="both"/>
              <w:rPr>
                <w:rFonts w:ascii="Kohinoor Devanagari" w:hAnsi="Kohinoor Devanagari" w:cs="Kohinoor Devanagari"/>
                <w:sz w:val="20"/>
                <w:szCs w:val="20"/>
                <w:lang w:eastAsia="en-GB"/>
              </w:rPr>
            </w:pPr>
            <w:r w:rsidRPr="004D1398">
              <w:rPr>
                <w:rFonts w:ascii="Kohinoor Devanagari" w:hAnsi="Kohinoor Devanagari" w:cs="Kohinoor Devanagari"/>
                <w:b/>
                <w:bCs/>
                <w:sz w:val="20"/>
                <w:szCs w:val="20"/>
                <w:lang w:eastAsia="en-GB"/>
              </w:rPr>
              <w:t>Disclosure Policy Development</w:t>
            </w:r>
          </w:p>
        </w:tc>
        <w:tc>
          <w:tcPr>
            <w:tcW w:w="0" w:type="auto"/>
            <w:hideMark/>
          </w:tcPr>
          <w:p w14:paraId="778F84F3" w14:textId="77777777" w:rsidR="006523A1" w:rsidRPr="004D1398" w:rsidRDefault="006523A1" w:rsidP="006523A1">
            <w:pPr>
              <w:spacing w:before="120" w:after="120"/>
              <w:jc w:val="both"/>
              <w:rPr>
                <w:rFonts w:ascii="Kohinoor Devanagari" w:hAnsi="Kohinoor Devanagari" w:cs="Kohinoor Devanagari"/>
                <w:sz w:val="20"/>
                <w:szCs w:val="20"/>
                <w:lang w:eastAsia="en-GB"/>
              </w:rPr>
            </w:pPr>
            <w:r w:rsidRPr="004D1398">
              <w:rPr>
                <w:rFonts w:ascii="Kohinoor Devanagari" w:hAnsi="Kohinoor Devanagari" w:cs="Kohinoor Devanagari"/>
                <w:sz w:val="20"/>
                <w:szCs w:val="20"/>
                <w:lang w:eastAsia="en-GB"/>
              </w:rPr>
              <w:t>Art. 12</w:t>
            </w:r>
          </w:p>
        </w:tc>
        <w:tc>
          <w:tcPr>
            <w:tcW w:w="0" w:type="auto"/>
            <w:hideMark/>
          </w:tcPr>
          <w:p w14:paraId="57EC4A19" w14:textId="40ACCB81" w:rsidR="006523A1" w:rsidRPr="004D1398" w:rsidRDefault="006523A1" w:rsidP="006523A1">
            <w:pPr>
              <w:spacing w:before="120" w:after="120"/>
              <w:jc w:val="both"/>
              <w:rPr>
                <w:rFonts w:ascii="Kohinoor Devanagari" w:hAnsi="Kohinoor Devanagari" w:cs="Kohinoor Devanagari"/>
                <w:sz w:val="20"/>
                <w:szCs w:val="20"/>
                <w:lang w:eastAsia="en-GB"/>
              </w:rPr>
            </w:pPr>
            <w:r w:rsidRPr="004D1398">
              <w:rPr>
                <w:rFonts w:ascii="Kohinoor Devanagari" w:hAnsi="Kohinoor Devanagari" w:cs="Kohinoor Devanagari"/>
                <w:sz w:val="20"/>
                <w:szCs w:val="20"/>
                <w:lang w:eastAsia="en-GB"/>
              </w:rPr>
              <w:t>Public entities represented in the EITI Committee must develop, implement, and update disclosure policies. These policies must define the types of data that can be disclosed in line with national interests, contractual terms, and EITI requirements.</w:t>
            </w:r>
          </w:p>
        </w:tc>
        <w:tc>
          <w:tcPr>
            <w:tcW w:w="0" w:type="auto"/>
            <w:hideMark/>
          </w:tcPr>
          <w:p w14:paraId="1EE3899C" w14:textId="77777777" w:rsidR="006523A1" w:rsidRPr="004D1398" w:rsidRDefault="006523A1" w:rsidP="006523A1">
            <w:pPr>
              <w:spacing w:before="120" w:after="120"/>
              <w:jc w:val="both"/>
              <w:rPr>
                <w:rFonts w:ascii="Kohinoor Devanagari" w:hAnsi="Kohinoor Devanagari" w:cs="Kohinoor Devanagari"/>
                <w:sz w:val="20"/>
                <w:szCs w:val="20"/>
                <w:lang w:eastAsia="en-GB"/>
              </w:rPr>
            </w:pPr>
            <w:r w:rsidRPr="004D1398">
              <w:rPr>
                <w:rFonts w:ascii="Kohinoor Devanagari" w:hAnsi="Kohinoor Devanagari" w:cs="Kohinoor Devanagari"/>
                <w:sz w:val="20"/>
                <w:szCs w:val="20"/>
                <w:lang w:eastAsia="en-GB"/>
              </w:rPr>
              <w:t>State entities on the EITI Committee</w:t>
            </w:r>
          </w:p>
        </w:tc>
        <w:tc>
          <w:tcPr>
            <w:tcW w:w="0" w:type="auto"/>
            <w:hideMark/>
          </w:tcPr>
          <w:p w14:paraId="1A22E810" w14:textId="77777777" w:rsidR="006523A1" w:rsidRPr="004D1398" w:rsidRDefault="006523A1" w:rsidP="006523A1">
            <w:pPr>
              <w:spacing w:before="120" w:after="120"/>
              <w:jc w:val="both"/>
              <w:rPr>
                <w:rFonts w:ascii="Kohinoor Devanagari" w:hAnsi="Kohinoor Devanagari" w:cs="Kohinoor Devanagari"/>
                <w:sz w:val="20"/>
                <w:szCs w:val="20"/>
                <w:lang w:eastAsia="en-GB"/>
              </w:rPr>
            </w:pPr>
            <w:r w:rsidRPr="004D1398">
              <w:rPr>
                <w:rFonts w:ascii="Kohinoor Devanagari" w:hAnsi="Kohinoor Devanagari" w:cs="Kohinoor Devanagari"/>
                <w:sz w:val="20"/>
                <w:szCs w:val="20"/>
                <w:lang w:eastAsia="en-GB"/>
              </w:rPr>
              <w:t>Align disclosures with state policy while ensuring compliance with EITI transparency standards</w:t>
            </w:r>
          </w:p>
        </w:tc>
      </w:tr>
      <w:tr w:rsidR="006523A1" w:rsidRPr="004D1398" w14:paraId="212AB8D2" w14:textId="77777777" w:rsidTr="00BE1C69">
        <w:tc>
          <w:tcPr>
            <w:tcW w:w="0" w:type="auto"/>
            <w:hideMark/>
          </w:tcPr>
          <w:p w14:paraId="0F9869F4" w14:textId="77777777" w:rsidR="006523A1" w:rsidRPr="004D1398" w:rsidRDefault="006523A1" w:rsidP="006523A1">
            <w:pPr>
              <w:spacing w:before="120" w:after="120"/>
              <w:jc w:val="both"/>
              <w:rPr>
                <w:rFonts w:ascii="Kohinoor Devanagari" w:hAnsi="Kohinoor Devanagari" w:cs="Kohinoor Devanagari"/>
                <w:sz w:val="20"/>
                <w:szCs w:val="20"/>
                <w:lang w:eastAsia="en-GB"/>
              </w:rPr>
            </w:pPr>
            <w:r w:rsidRPr="004D1398">
              <w:rPr>
                <w:rFonts w:ascii="Kohinoor Devanagari" w:hAnsi="Kohinoor Devanagari" w:cs="Kohinoor Devanagari"/>
                <w:b/>
                <w:bCs/>
                <w:sz w:val="20"/>
                <w:szCs w:val="20"/>
                <w:lang w:eastAsia="en-GB"/>
              </w:rPr>
              <w:t>Systematic Disclosure</w:t>
            </w:r>
          </w:p>
        </w:tc>
        <w:tc>
          <w:tcPr>
            <w:tcW w:w="0" w:type="auto"/>
            <w:hideMark/>
          </w:tcPr>
          <w:p w14:paraId="652581B1" w14:textId="77777777" w:rsidR="006523A1" w:rsidRPr="004D1398" w:rsidRDefault="006523A1" w:rsidP="006523A1">
            <w:pPr>
              <w:spacing w:before="120" w:after="120"/>
              <w:jc w:val="both"/>
              <w:rPr>
                <w:rFonts w:ascii="Kohinoor Devanagari" w:hAnsi="Kohinoor Devanagari" w:cs="Kohinoor Devanagari"/>
                <w:sz w:val="20"/>
                <w:szCs w:val="20"/>
                <w:lang w:eastAsia="en-GB"/>
              </w:rPr>
            </w:pPr>
            <w:r w:rsidRPr="004D1398">
              <w:rPr>
                <w:rFonts w:ascii="Kohinoor Devanagari" w:hAnsi="Kohinoor Devanagari" w:cs="Kohinoor Devanagari"/>
                <w:sz w:val="20"/>
                <w:szCs w:val="20"/>
                <w:lang w:eastAsia="en-GB"/>
              </w:rPr>
              <w:t>Art. 12</w:t>
            </w:r>
          </w:p>
        </w:tc>
        <w:tc>
          <w:tcPr>
            <w:tcW w:w="0" w:type="auto"/>
            <w:hideMark/>
          </w:tcPr>
          <w:p w14:paraId="6AED4B26" w14:textId="77777777" w:rsidR="006523A1" w:rsidRPr="004D1398" w:rsidRDefault="006523A1" w:rsidP="006523A1">
            <w:pPr>
              <w:spacing w:before="120" w:after="120"/>
              <w:jc w:val="both"/>
              <w:rPr>
                <w:rFonts w:ascii="Kohinoor Devanagari" w:hAnsi="Kohinoor Devanagari" w:cs="Kohinoor Devanagari"/>
                <w:sz w:val="20"/>
                <w:szCs w:val="20"/>
                <w:lang w:eastAsia="en-GB"/>
              </w:rPr>
            </w:pPr>
            <w:r w:rsidRPr="004D1398">
              <w:rPr>
                <w:rFonts w:ascii="Kohinoor Devanagari" w:hAnsi="Kohinoor Devanagari" w:cs="Kohinoor Devanagari"/>
                <w:sz w:val="20"/>
                <w:szCs w:val="20"/>
                <w:lang w:eastAsia="en-GB"/>
              </w:rPr>
              <w:t>Policies must ensure systematic disclosure of extractive data as per the EITI Standard</w:t>
            </w:r>
          </w:p>
        </w:tc>
        <w:tc>
          <w:tcPr>
            <w:tcW w:w="0" w:type="auto"/>
            <w:hideMark/>
          </w:tcPr>
          <w:p w14:paraId="2C68E791" w14:textId="77777777" w:rsidR="006523A1" w:rsidRPr="004D1398" w:rsidRDefault="006523A1" w:rsidP="006523A1">
            <w:pPr>
              <w:spacing w:before="120" w:after="120"/>
              <w:jc w:val="both"/>
              <w:rPr>
                <w:rFonts w:ascii="Kohinoor Devanagari" w:hAnsi="Kohinoor Devanagari" w:cs="Kohinoor Devanagari"/>
                <w:sz w:val="20"/>
                <w:szCs w:val="20"/>
                <w:lang w:eastAsia="en-GB"/>
              </w:rPr>
            </w:pPr>
            <w:r w:rsidRPr="004D1398">
              <w:rPr>
                <w:rFonts w:ascii="Kohinoor Devanagari" w:hAnsi="Kohinoor Devanagari" w:cs="Kohinoor Devanagari"/>
                <w:sz w:val="20"/>
                <w:szCs w:val="20"/>
                <w:lang w:eastAsia="en-GB"/>
              </w:rPr>
              <w:t>EITI Committee &amp; relevant ministries</w:t>
            </w:r>
          </w:p>
        </w:tc>
        <w:tc>
          <w:tcPr>
            <w:tcW w:w="0" w:type="auto"/>
            <w:hideMark/>
          </w:tcPr>
          <w:p w14:paraId="4F887BC5" w14:textId="77777777" w:rsidR="006523A1" w:rsidRPr="004D1398" w:rsidRDefault="006523A1" w:rsidP="006523A1">
            <w:pPr>
              <w:spacing w:before="120" w:after="120"/>
              <w:jc w:val="both"/>
              <w:rPr>
                <w:rFonts w:ascii="Kohinoor Devanagari" w:hAnsi="Kohinoor Devanagari" w:cs="Kohinoor Devanagari"/>
                <w:sz w:val="20"/>
                <w:szCs w:val="20"/>
                <w:lang w:eastAsia="en-GB"/>
              </w:rPr>
            </w:pPr>
            <w:r w:rsidRPr="004D1398">
              <w:rPr>
                <w:rFonts w:ascii="Kohinoor Devanagari" w:hAnsi="Kohinoor Devanagari" w:cs="Kohinoor Devanagari"/>
                <w:sz w:val="20"/>
                <w:szCs w:val="20"/>
                <w:lang w:eastAsia="en-GB"/>
              </w:rPr>
              <w:t>Institutionalize automatic, regular data publication</w:t>
            </w:r>
          </w:p>
        </w:tc>
      </w:tr>
      <w:tr w:rsidR="006523A1" w:rsidRPr="004D1398" w14:paraId="4D9A89CC" w14:textId="77777777" w:rsidTr="00BE1C69">
        <w:tc>
          <w:tcPr>
            <w:tcW w:w="0" w:type="auto"/>
            <w:hideMark/>
          </w:tcPr>
          <w:p w14:paraId="3BE070FB" w14:textId="77777777" w:rsidR="006523A1" w:rsidRPr="004D1398" w:rsidRDefault="006523A1" w:rsidP="006523A1">
            <w:pPr>
              <w:spacing w:before="120" w:after="120"/>
              <w:jc w:val="both"/>
              <w:rPr>
                <w:rFonts w:ascii="Kohinoor Devanagari" w:hAnsi="Kohinoor Devanagari" w:cs="Kohinoor Devanagari"/>
                <w:sz w:val="20"/>
                <w:szCs w:val="20"/>
                <w:lang w:eastAsia="en-GB"/>
              </w:rPr>
            </w:pPr>
            <w:r w:rsidRPr="004D1398">
              <w:rPr>
                <w:rFonts w:ascii="Kohinoor Devanagari" w:hAnsi="Kohinoor Devanagari" w:cs="Kohinoor Devanagari"/>
                <w:b/>
                <w:bCs/>
                <w:sz w:val="20"/>
                <w:szCs w:val="20"/>
                <w:lang w:eastAsia="en-GB"/>
              </w:rPr>
              <w:t>Internal Coordination Units</w:t>
            </w:r>
          </w:p>
        </w:tc>
        <w:tc>
          <w:tcPr>
            <w:tcW w:w="0" w:type="auto"/>
            <w:hideMark/>
          </w:tcPr>
          <w:p w14:paraId="2C5B2F0B" w14:textId="77777777" w:rsidR="006523A1" w:rsidRPr="004D1398" w:rsidRDefault="006523A1" w:rsidP="006523A1">
            <w:pPr>
              <w:spacing w:before="120" w:after="120"/>
              <w:jc w:val="both"/>
              <w:rPr>
                <w:rFonts w:ascii="Kohinoor Devanagari" w:hAnsi="Kohinoor Devanagari" w:cs="Kohinoor Devanagari"/>
                <w:sz w:val="20"/>
                <w:szCs w:val="20"/>
                <w:lang w:eastAsia="en-GB"/>
              </w:rPr>
            </w:pPr>
            <w:r w:rsidRPr="004D1398">
              <w:rPr>
                <w:rFonts w:ascii="Kohinoor Devanagari" w:hAnsi="Kohinoor Devanagari" w:cs="Kohinoor Devanagari"/>
                <w:sz w:val="20"/>
                <w:szCs w:val="20"/>
                <w:lang w:eastAsia="en-GB"/>
              </w:rPr>
              <w:t>Art. 12</w:t>
            </w:r>
          </w:p>
        </w:tc>
        <w:tc>
          <w:tcPr>
            <w:tcW w:w="0" w:type="auto"/>
            <w:hideMark/>
          </w:tcPr>
          <w:p w14:paraId="41287504" w14:textId="77777777" w:rsidR="006523A1" w:rsidRPr="004D1398" w:rsidRDefault="006523A1" w:rsidP="006523A1">
            <w:pPr>
              <w:spacing w:before="120" w:after="120"/>
              <w:jc w:val="both"/>
              <w:rPr>
                <w:rFonts w:ascii="Kohinoor Devanagari" w:hAnsi="Kohinoor Devanagari" w:cs="Kohinoor Devanagari"/>
                <w:sz w:val="20"/>
                <w:szCs w:val="20"/>
                <w:lang w:eastAsia="en-GB"/>
              </w:rPr>
            </w:pPr>
            <w:r w:rsidRPr="004D1398">
              <w:rPr>
                <w:rFonts w:ascii="Kohinoor Devanagari" w:hAnsi="Kohinoor Devanagari" w:cs="Kohinoor Devanagari"/>
                <w:sz w:val="20"/>
                <w:szCs w:val="20"/>
                <w:lang w:eastAsia="en-GB"/>
              </w:rPr>
              <w:t>Public entities must designate internal units to coordinate with the EITI Committee and ensure the preparation of accurate, up-to-date data for publication</w:t>
            </w:r>
          </w:p>
        </w:tc>
        <w:tc>
          <w:tcPr>
            <w:tcW w:w="0" w:type="auto"/>
            <w:hideMark/>
          </w:tcPr>
          <w:p w14:paraId="481DE0E3" w14:textId="77777777" w:rsidR="006523A1" w:rsidRPr="004D1398" w:rsidRDefault="006523A1" w:rsidP="006523A1">
            <w:pPr>
              <w:spacing w:before="120" w:after="120"/>
              <w:jc w:val="both"/>
              <w:rPr>
                <w:rFonts w:ascii="Kohinoor Devanagari" w:hAnsi="Kohinoor Devanagari" w:cs="Kohinoor Devanagari"/>
                <w:sz w:val="20"/>
                <w:szCs w:val="20"/>
                <w:lang w:eastAsia="en-GB"/>
              </w:rPr>
            </w:pPr>
            <w:r w:rsidRPr="004D1398">
              <w:rPr>
                <w:rFonts w:ascii="Kohinoor Devanagari" w:hAnsi="Kohinoor Devanagari" w:cs="Kohinoor Devanagari"/>
                <w:sz w:val="20"/>
                <w:szCs w:val="20"/>
                <w:lang w:eastAsia="en-GB"/>
              </w:rPr>
              <w:t>Ministries and public agencies</w:t>
            </w:r>
          </w:p>
        </w:tc>
        <w:tc>
          <w:tcPr>
            <w:tcW w:w="0" w:type="auto"/>
            <w:hideMark/>
          </w:tcPr>
          <w:p w14:paraId="3D49346A" w14:textId="77777777" w:rsidR="006523A1" w:rsidRPr="004D1398" w:rsidRDefault="006523A1" w:rsidP="006523A1">
            <w:pPr>
              <w:spacing w:before="120" w:after="120"/>
              <w:jc w:val="both"/>
              <w:rPr>
                <w:rFonts w:ascii="Kohinoor Devanagari" w:hAnsi="Kohinoor Devanagari" w:cs="Kohinoor Devanagari"/>
                <w:sz w:val="20"/>
                <w:szCs w:val="20"/>
                <w:lang w:eastAsia="en-GB"/>
              </w:rPr>
            </w:pPr>
            <w:r w:rsidRPr="004D1398">
              <w:rPr>
                <w:rFonts w:ascii="Kohinoor Devanagari" w:hAnsi="Kohinoor Devanagari" w:cs="Kohinoor Devanagari"/>
                <w:sz w:val="20"/>
                <w:szCs w:val="20"/>
                <w:lang w:eastAsia="en-GB"/>
              </w:rPr>
              <w:t>Improve the consistency and quality of reported data</w:t>
            </w:r>
          </w:p>
        </w:tc>
      </w:tr>
      <w:tr w:rsidR="006523A1" w:rsidRPr="004D1398" w14:paraId="0A508B01" w14:textId="77777777" w:rsidTr="00BE1C69">
        <w:tc>
          <w:tcPr>
            <w:tcW w:w="0" w:type="auto"/>
            <w:hideMark/>
          </w:tcPr>
          <w:p w14:paraId="2D39748D" w14:textId="77777777" w:rsidR="006523A1" w:rsidRPr="004D1398" w:rsidRDefault="006523A1" w:rsidP="006523A1">
            <w:pPr>
              <w:spacing w:before="120" w:after="120"/>
              <w:jc w:val="both"/>
              <w:rPr>
                <w:rFonts w:ascii="Kohinoor Devanagari" w:hAnsi="Kohinoor Devanagari" w:cs="Kohinoor Devanagari"/>
                <w:sz w:val="20"/>
                <w:szCs w:val="20"/>
                <w:lang w:eastAsia="en-GB"/>
              </w:rPr>
            </w:pPr>
            <w:r w:rsidRPr="004D1398">
              <w:rPr>
                <w:rFonts w:ascii="Kohinoor Devanagari" w:hAnsi="Kohinoor Devanagari" w:cs="Kohinoor Devanagari"/>
                <w:b/>
                <w:bCs/>
                <w:sz w:val="20"/>
                <w:szCs w:val="20"/>
                <w:lang w:eastAsia="en-GB"/>
              </w:rPr>
              <w:t>Mandatory Cooperation and Data Provision</w:t>
            </w:r>
          </w:p>
        </w:tc>
        <w:tc>
          <w:tcPr>
            <w:tcW w:w="0" w:type="auto"/>
            <w:hideMark/>
          </w:tcPr>
          <w:p w14:paraId="1039085D" w14:textId="77777777" w:rsidR="006523A1" w:rsidRPr="004D1398" w:rsidRDefault="006523A1" w:rsidP="006523A1">
            <w:pPr>
              <w:spacing w:before="120" w:after="120"/>
              <w:jc w:val="both"/>
              <w:rPr>
                <w:rFonts w:ascii="Kohinoor Devanagari" w:hAnsi="Kohinoor Devanagari" w:cs="Kohinoor Devanagari"/>
                <w:sz w:val="20"/>
                <w:szCs w:val="20"/>
                <w:lang w:eastAsia="en-GB"/>
              </w:rPr>
            </w:pPr>
            <w:r w:rsidRPr="004D1398">
              <w:rPr>
                <w:rFonts w:ascii="Kohinoor Devanagari" w:hAnsi="Kohinoor Devanagari" w:cs="Kohinoor Devanagari"/>
                <w:sz w:val="20"/>
                <w:szCs w:val="20"/>
                <w:lang w:eastAsia="en-GB"/>
              </w:rPr>
              <w:t>Art. 13</w:t>
            </w:r>
          </w:p>
        </w:tc>
        <w:tc>
          <w:tcPr>
            <w:tcW w:w="0" w:type="auto"/>
            <w:hideMark/>
          </w:tcPr>
          <w:p w14:paraId="770281AB" w14:textId="77777777" w:rsidR="006523A1" w:rsidRPr="004D1398" w:rsidRDefault="006523A1" w:rsidP="006523A1">
            <w:pPr>
              <w:spacing w:before="120" w:after="120"/>
              <w:jc w:val="both"/>
              <w:rPr>
                <w:rFonts w:ascii="Kohinoor Devanagari" w:hAnsi="Kohinoor Devanagari" w:cs="Kohinoor Devanagari"/>
                <w:sz w:val="20"/>
                <w:szCs w:val="20"/>
                <w:lang w:eastAsia="en-GB"/>
              </w:rPr>
            </w:pPr>
            <w:r w:rsidRPr="004D1398">
              <w:rPr>
                <w:rFonts w:ascii="Kohinoor Devanagari" w:hAnsi="Kohinoor Devanagari" w:cs="Kohinoor Devanagari"/>
                <w:sz w:val="20"/>
                <w:szCs w:val="20"/>
                <w:lang w:eastAsia="en-GB"/>
              </w:rPr>
              <w:t>Ministries, public and private companies, and other stakeholders are required to support the EITI Committee by providing the data outlined in the disclosure policy with accuracy and within deadlines</w:t>
            </w:r>
          </w:p>
        </w:tc>
        <w:tc>
          <w:tcPr>
            <w:tcW w:w="0" w:type="auto"/>
            <w:hideMark/>
          </w:tcPr>
          <w:p w14:paraId="36356B91" w14:textId="77777777" w:rsidR="006523A1" w:rsidRPr="004D1398" w:rsidRDefault="006523A1" w:rsidP="006523A1">
            <w:pPr>
              <w:spacing w:before="120" w:after="120"/>
              <w:jc w:val="both"/>
              <w:rPr>
                <w:rFonts w:ascii="Kohinoor Devanagari" w:hAnsi="Kohinoor Devanagari" w:cs="Kohinoor Devanagari"/>
                <w:sz w:val="20"/>
                <w:szCs w:val="20"/>
                <w:lang w:eastAsia="en-GB"/>
              </w:rPr>
            </w:pPr>
            <w:r w:rsidRPr="004D1398">
              <w:rPr>
                <w:rFonts w:ascii="Kohinoor Devanagari" w:hAnsi="Kohinoor Devanagari" w:cs="Kohinoor Devanagari"/>
                <w:sz w:val="20"/>
                <w:szCs w:val="20"/>
                <w:lang w:eastAsia="en-GB"/>
              </w:rPr>
              <w:t>All extractive sector stakeholders</w:t>
            </w:r>
          </w:p>
        </w:tc>
        <w:tc>
          <w:tcPr>
            <w:tcW w:w="0" w:type="auto"/>
            <w:hideMark/>
          </w:tcPr>
          <w:p w14:paraId="3A6C69A0" w14:textId="77777777" w:rsidR="006523A1" w:rsidRPr="004D1398" w:rsidRDefault="006523A1" w:rsidP="006523A1">
            <w:pPr>
              <w:spacing w:before="120" w:after="120"/>
              <w:jc w:val="both"/>
              <w:rPr>
                <w:rFonts w:ascii="Kohinoor Devanagari" w:hAnsi="Kohinoor Devanagari" w:cs="Kohinoor Devanagari"/>
                <w:sz w:val="20"/>
                <w:szCs w:val="20"/>
                <w:lang w:eastAsia="en-GB"/>
              </w:rPr>
            </w:pPr>
            <w:r w:rsidRPr="004D1398">
              <w:rPr>
                <w:rFonts w:ascii="Kohinoor Devanagari" w:hAnsi="Kohinoor Devanagari" w:cs="Kohinoor Devanagari"/>
                <w:sz w:val="20"/>
                <w:szCs w:val="20"/>
                <w:lang w:eastAsia="en-GB"/>
              </w:rPr>
              <w:t>Ensure timely data flow for EITI reporting</w:t>
            </w:r>
          </w:p>
        </w:tc>
      </w:tr>
      <w:tr w:rsidR="006523A1" w:rsidRPr="004D1398" w14:paraId="185E923D" w14:textId="77777777" w:rsidTr="00BE1C69">
        <w:tc>
          <w:tcPr>
            <w:tcW w:w="0" w:type="auto"/>
            <w:hideMark/>
          </w:tcPr>
          <w:p w14:paraId="2D7119F3" w14:textId="77777777" w:rsidR="006523A1" w:rsidRPr="004D1398" w:rsidRDefault="006523A1" w:rsidP="006523A1">
            <w:pPr>
              <w:spacing w:before="120" w:after="120"/>
              <w:jc w:val="both"/>
              <w:rPr>
                <w:rFonts w:ascii="Kohinoor Devanagari" w:hAnsi="Kohinoor Devanagari" w:cs="Kohinoor Devanagari"/>
                <w:sz w:val="20"/>
                <w:szCs w:val="20"/>
                <w:lang w:eastAsia="en-GB"/>
              </w:rPr>
            </w:pPr>
            <w:r w:rsidRPr="004D1398">
              <w:rPr>
                <w:rFonts w:ascii="Kohinoor Devanagari" w:hAnsi="Kohinoor Devanagari" w:cs="Kohinoor Devanagari"/>
                <w:b/>
                <w:bCs/>
                <w:sz w:val="20"/>
                <w:szCs w:val="20"/>
                <w:lang w:eastAsia="en-GB"/>
              </w:rPr>
              <w:lastRenderedPageBreak/>
              <w:t>Accountability for Non-Compliance</w:t>
            </w:r>
          </w:p>
        </w:tc>
        <w:tc>
          <w:tcPr>
            <w:tcW w:w="0" w:type="auto"/>
            <w:hideMark/>
          </w:tcPr>
          <w:p w14:paraId="66FD427C" w14:textId="77777777" w:rsidR="006523A1" w:rsidRPr="004D1398" w:rsidRDefault="006523A1" w:rsidP="006523A1">
            <w:pPr>
              <w:spacing w:before="120" w:after="120"/>
              <w:jc w:val="both"/>
              <w:rPr>
                <w:rFonts w:ascii="Kohinoor Devanagari" w:hAnsi="Kohinoor Devanagari" w:cs="Kohinoor Devanagari"/>
                <w:sz w:val="20"/>
                <w:szCs w:val="20"/>
                <w:lang w:eastAsia="en-GB"/>
              </w:rPr>
            </w:pPr>
            <w:r w:rsidRPr="004D1398">
              <w:rPr>
                <w:rFonts w:ascii="Kohinoor Devanagari" w:hAnsi="Kohinoor Devanagari" w:cs="Kohinoor Devanagari"/>
                <w:sz w:val="20"/>
                <w:szCs w:val="20"/>
                <w:lang w:eastAsia="en-GB"/>
              </w:rPr>
              <w:t>Art. 13</w:t>
            </w:r>
          </w:p>
        </w:tc>
        <w:tc>
          <w:tcPr>
            <w:tcW w:w="0" w:type="auto"/>
            <w:hideMark/>
          </w:tcPr>
          <w:p w14:paraId="1CEC8CA1" w14:textId="77777777" w:rsidR="006523A1" w:rsidRPr="004D1398" w:rsidRDefault="006523A1" w:rsidP="006523A1">
            <w:pPr>
              <w:spacing w:before="120" w:after="120"/>
              <w:jc w:val="both"/>
              <w:rPr>
                <w:rFonts w:ascii="Kohinoor Devanagari" w:hAnsi="Kohinoor Devanagari" w:cs="Kohinoor Devanagari"/>
                <w:sz w:val="20"/>
                <w:szCs w:val="20"/>
                <w:lang w:eastAsia="en-GB"/>
              </w:rPr>
            </w:pPr>
            <w:r w:rsidRPr="004D1398">
              <w:rPr>
                <w:rFonts w:ascii="Kohinoor Devanagari" w:hAnsi="Kohinoor Devanagari" w:cs="Kohinoor Devanagari"/>
                <w:sz w:val="20"/>
                <w:szCs w:val="20"/>
                <w:lang w:eastAsia="en-GB"/>
              </w:rPr>
              <w:t>Entities failing to comply will face administrative and legal consequences</w:t>
            </w:r>
          </w:p>
        </w:tc>
        <w:tc>
          <w:tcPr>
            <w:tcW w:w="0" w:type="auto"/>
            <w:hideMark/>
          </w:tcPr>
          <w:p w14:paraId="39DBC073" w14:textId="77777777" w:rsidR="006523A1" w:rsidRPr="004D1398" w:rsidRDefault="006523A1" w:rsidP="006523A1">
            <w:pPr>
              <w:spacing w:before="120" w:after="120"/>
              <w:jc w:val="both"/>
              <w:rPr>
                <w:rFonts w:ascii="Kohinoor Devanagari" w:hAnsi="Kohinoor Devanagari" w:cs="Kohinoor Devanagari"/>
                <w:sz w:val="20"/>
                <w:szCs w:val="20"/>
                <w:lang w:eastAsia="en-GB"/>
              </w:rPr>
            </w:pPr>
            <w:r w:rsidRPr="004D1398">
              <w:rPr>
                <w:rFonts w:ascii="Kohinoor Devanagari" w:hAnsi="Kohinoor Devanagari" w:cs="Kohinoor Devanagari"/>
                <w:sz w:val="20"/>
                <w:szCs w:val="20"/>
                <w:lang w:eastAsia="en-GB"/>
              </w:rPr>
              <w:t>All relevant entities</w:t>
            </w:r>
          </w:p>
        </w:tc>
        <w:tc>
          <w:tcPr>
            <w:tcW w:w="0" w:type="auto"/>
            <w:hideMark/>
          </w:tcPr>
          <w:p w14:paraId="3E72CBF3" w14:textId="77777777" w:rsidR="006523A1" w:rsidRPr="004D1398" w:rsidRDefault="006523A1" w:rsidP="006523A1">
            <w:pPr>
              <w:spacing w:before="120" w:after="120"/>
              <w:jc w:val="both"/>
              <w:rPr>
                <w:rFonts w:ascii="Kohinoor Devanagari" w:hAnsi="Kohinoor Devanagari" w:cs="Kohinoor Devanagari"/>
                <w:sz w:val="20"/>
                <w:szCs w:val="20"/>
                <w:lang w:eastAsia="en-GB"/>
              </w:rPr>
            </w:pPr>
            <w:r w:rsidRPr="004D1398">
              <w:rPr>
                <w:rFonts w:ascii="Kohinoor Devanagari" w:hAnsi="Kohinoor Devanagari" w:cs="Kohinoor Devanagari"/>
                <w:sz w:val="20"/>
                <w:szCs w:val="20"/>
                <w:lang w:eastAsia="en-GB"/>
              </w:rPr>
              <w:t>Enforce responsibility and compliance with the law</w:t>
            </w:r>
          </w:p>
        </w:tc>
      </w:tr>
    </w:tbl>
    <w:p w14:paraId="48D1DAA7" w14:textId="77777777" w:rsidR="007A7B09" w:rsidRPr="00BE1C69" w:rsidRDefault="007A7B09" w:rsidP="00BE1C69">
      <w:pPr>
        <w:pStyle w:val="ListParagraph"/>
        <w:numPr>
          <w:ilvl w:val="0"/>
          <w:numId w:val="7"/>
        </w:numPr>
        <w:spacing w:before="120" w:after="120" w:line="240" w:lineRule="auto"/>
        <w:jc w:val="both"/>
        <w:rPr>
          <w:rFonts w:ascii="Kohinoor Devanagari" w:hAnsi="Kohinoor Devanagari" w:cs="Kohinoor Devanagari"/>
          <w:b/>
          <w:bCs/>
          <w:i/>
          <w:iCs/>
          <w:sz w:val="22"/>
          <w:szCs w:val="22"/>
          <w:lang w:eastAsia="en-GB"/>
        </w:rPr>
      </w:pPr>
      <w:r w:rsidRPr="00BE1C69">
        <w:rPr>
          <w:rFonts w:ascii="Kohinoor Devanagari" w:hAnsi="Kohinoor Devanagari" w:cs="Kohinoor Devanagari"/>
          <w:b/>
          <w:bCs/>
          <w:i/>
          <w:iCs/>
          <w:sz w:val="22"/>
          <w:szCs w:val="22"/>
          <w:lang w:eastAsia="en-GB"/>
        </w:rPr>
        <w:t>Challenges and Limitations</w:t>
      </w:r>
    </w:p>
    <w:p w14:paraId="35BE09E4" w14:textId="77777777" w:rsidR="007A7B09" w:rsidRPr="00BE1C69" w:rsidRDefault="007A7B09" w:rsidP="007A7B09">
      <w:pPr>
        <w:spacing w:before="120" w:after="120" w:line="240" w:lineRule="auto"/>
        <w:jc w:val="both"/>
        <w:rPr>
          <w:rFonts w:ascii="Kohinoor Devanagari" w:hAnsi="Kohinoor Devanagari" w:cs="Kohinoor Devanagari"/>
          <w:sz w:val="22"/>
          <w:szCs w:val="22"/>
          <w:lang w:eastAsia="en-GB"/>
        </w:rPr>
      </w:pPr>
      <w:r w:rsidRPr="00BE1C69">
        <w:rPr>
          <w:rFonts w:ascii="Kohinoor Devanagari" w:hAnsi="Kohinoor Devanagari" w:cs="Kohinoor Devanagari"/>
          <w:sz w:val="22"/>
          <w:szCs w:val="22"/>
          <w:lang w:eastAsia="en-GB"/>
        </w:rPr>
        <w:t>While Articles 12 and 13 offer a robust legal basis for enhancing transparency, several challenges may limit their effectiveness:</w:t>
      </w:r>
    </w:p>
    <w:p w14:paraId="2B177D85" w14:textId="77777777" w:rsidR="007A7B09" w:rsidRPr="00BE1C69" w:rsidRDefault="007A7B09" w:rsidP="007A7B09">
      <w:pPr>
        <w:numPr>
          <w:ilvl w:val="0"/>
          <w:numId w:val="87"/>
        </w:numPr>
        <w:spacing w:before="120" w:after="120" w:line="240" w:lineRule="auto"/>
        <w:jc w:val="both"/>
        <w:rPr>
          <w:rFonts w:ascii="Kohinoor Devanagari" w:hAnsi="Kohinoor Devanagari" w:cs="Kohinoor Devanagari"/>
          <w:sz w:val="22"/>
          <w:szCs w:val="22"/>
          <w:lang w:eastAsia="en-GB"/>
        </w:rPr>
      </w:pPr>
      <w:r w:rsidRPr="00BE1C69">
        <w:rPr>
          <w:rFonts w:ascii="Kohinoor Devanagari" w:hAnsi="Kohinoor Devanagari" w:cs="Kohinoor Devanagari"/>
          <w:b/>
          <w:bCs/>
          <w:sz w:val="22"/>
          <w:szCs w:val="22"/>
          <w:lang w:eastAsia="en-GB"/>
        </w:rPr>
        <w:t>Institutional Resistance</w:t>
      </w:r>
      <w:r w:rsidRPr="00BE1C69">
        <w:rPr>
          <w:rFonts w:ascii="Kohinoor Devanagari" w:hAnsi="Kohinoor Devanagari" w:cs="Kohinoor Devanagari"/>
          <w:sz w:val="22"/>
          <w:szCs w:val="22"/>
          <w:lang w:eastAsia="en-GB"/>
        </w:rPr>
        <w:t>: Some public or private entities may resist full disclosure, particularly where contract confidentiality is cited.</w:t>
      </w:r>
    </w:p>
    <w:p w14:paraId="3F3720D2" w14:textId="77777777" w:rsidR="007A7B09" w:rsidRPr="00BE1C69" w:rsidRDefault="007A7B09" w:rsidP="007A7B09">
      <w:pPr>
        <w:numPr>
          <w:ilvl w:val="0"/>
          <w:numId w:val="87"/>
        </w:numPr>
        <w:spacing w:before="120" w:after="120" w:line="240" w:lineRule="auto"/>
        <w:jc w:val="both"/>
        <w:rPr>
          <w:rFonts w:ascii="Kohinoor Devanagari" w:hAnsi="Kohinoor Devanagari" w:cs="Kohinoor Devanagari"/>
          <w:sz w:val="22"/>
          <w:szCs w:val="22"/>
          <w:lang w:eastAsia="en-GB"/>
        </w:rPr>
      </w:pPr>
      <w:r w:rsidRPr="00BE1C69">
        <w:rPr>
          <w:rFonts w:ascii="Kohinoor Devanagari" w:hAnsi="Kohinoor Devanagari" w:cs="Kohinoor Devanagari"/>
          <w:b/>
          <w:bCs/>
          <w:sz w:val="22"/>
          <w:szCs w:val="22"/>
          <w:lang w:eastAsia="en-GB"/>
        </w:rPr>
        <w:t>Capacity Constraints</w:t>
      </w:r>
      <w:r w:rsidRPr="00BE1C69">
        <w:rPr>
          <w:rFonts w:ascii="Kohinoor Devanagari" w:hAnsi="Kohinoor Devanagari" w:cs="Kohinoor Devanagari"/>
          <w:sz w:val="22"/>
          <w:szCs w:val="22"/>
          <w:lang w:eastAsia="en-GB"/>
        </w:rPr>
        <w:t>: Establishing dedicated coordination units requires technical expertise and resources that may not be readily available.</w:t>
      </w:r>
    </w:p>
    <w:p w14:paraId="40F2F965" w14:textId="77777777" w:rsidR="007A7B09" w:rsidRPr="00BE1C69" w:rsidRDefault="007A7B09" w:rsidP="007A7B09">
      <w:pPr>
        <w:numPr>
          <w:ilvl w:val="0"/>
          <w:numId w:val="87"/>
        </w:numPr>
        <w:spacing w:before="120" w:after="120" w:line="240" w:lineRule="auto"/>
        <w:jc w:val="both"/>
        <w:rPr>
          <w:rFonts w:ascii="Kohinoor Devanagari" w:hAnsi="Kohinoor Devanagari" w:cs="Kohinoor Devanagari"/>
          <w:sz w:val="22"/>
          <w:szCs w:val="22"/>
          <w:lang w:eastAsia="en-GB"/>
        </w:rPr>
      </w:pPr>
      <w:r w:rsidRPr="00BE1C69">
        <w:rPr>
          <w:rFonts w:ascii="Kohinoor Devanagari" w:hAnsi="Kohinoor Devanagari" w:cs="Kohinoor Devanagari"/>
          <w:b/>
          <w:bCs/>
          <w:sz w:val="22"/>
          <w:szCs w:val="22"/>
          <w:lang w:eastAsia="en-GB"/>
        </w:rPr>
        <w:t>Lack of Monitoring Tools</w:t>
      </w:r>
      <w:r w:rsidRPr="00BE1C69">
        <w:rPr>
          <w:rFonts w:ascii="Kohinoor Devanagari" w:hAnsi="Kohinoor Devanagari" w:cs="Kohinoor Devanagari"/>
          <w:sz w:val="22"/>
          <w:szCs w:val="22"/>
          <w:lang w:eastAsia="en-GB"/>
        </w:rPr>
        <w:t>: No clear mechanism is outlined to evaluate the implementation or effectiveness of disclosure policies.</w:t>
      </w:r>
    </w:p>
    <w:p w14:paraId="4456811E" w14:textId="77777777" w:rsidR="007A7B09" w:rsidRPr="00BE1C69" w:rsidRDefault="007A7B09" w:rsidP="007A7B09">
      <w:pPr>
        <w:numPr>
          <w:ilvl w:val="0"/>
          <w:numId w:val="87"/>
        </w:numPr>
        <w:spacing w:before="120" w:after="120" w:line="240" w:lineRule="auto"/>
        <w:jc w:val="both"/>
        <w:rPr>
          <w:rFonts w:ascii="Kohinoor Devanagari" w:hAnsi="Kohinoor Devanagari" w:cs="Kohinoor Devanagari"/>
          <w:sz w:val="22"/>
          <w:szCs w:val="22"/>
          <w:lang w:eastAsia="en-GB"/>
        </w:rPr>
      </w:pPr>
      <w:r w:rsidRPr="00BE1C69">
        <w:rPr>
          <w:rFonts w:ascii="Kohinoor Devanagari" w:hAnsi="Kohinoor Devanagari" w:cs="Kohinoor Devanagari"/>
          <w:b/>
          <w:bCs/>
          <w:sz w:val="22"/>
          <w:szCs w:val="22"/>
          <w:lang w:eastAsia="en-GB"/>
        </w:rPr>
        <w:t>Enforcement Ambiguities</w:t>
      </w:r>
      <w:r w:rsidRPr="00BE1C69">
        <w:rPr>
          <w:rFonts w:ascii="Kohinoor Devanagari" w:hAnsi="Kohinoor Devanagari" w:cs="Kohinoor Devanagari"/>
          <w:sz w:val="22"/>
          <w:szCs w:val="22"/>
          <w:lang w:eastAsia="en-GB"/>
        </w:rPr>
        <w:t>: The decree mentions sanctions but does not specify how administrative or legal actions will be pursued or by whom.</w:t>
      </w:r>
    </w:p>
    <w:p w14:paraId="7ACE2EA5" w14:textId="27462970" w:rsidR="00DE4957" w:rsidRPr="00A3573B" w:rsidRDefault="00001977" w:rsidP="00FD2B68">
      <w:pPr>
        <w:pStyle w:val="Heading3"/>
        <w:numPr>
          <w:ilvl w:val="2"/>
          <w:numId w:val="74"/>
        </w:numPr>
        <w:spacing w:before="120" w:after="120" w:line="240" w:lineRule="auto"/>
        <w:ind w:left="567" w:hanging="567"/>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Iraq’s Draft Data Classification Policy</w:t>
      </w:r>
    </w:p>
    <w:p w14:paraId="1EBFB00B" w14:textId="60D6A31E" w:rsidR="00EC6462" w:rsidRDefault="009C0D60" w:rsidP="00BE1C69">
      <w:pPr>
        <w:spacing w:before="120" w:after="120" w:line="240" w:lineRule="auto"/>
        <w:jc w:val="both"/>
        <w:rPr>
          <w:rFonts w:ascii="Kohinoor Devanagari" w:hAnsi="Kohinoor Devanagari" w:cs="Kohinoor Devanagari"/>
          <w:b/>
          <w:bCs/>
          <w:i/>
          <w:iCs/>
          <w:sz w:val="22"/>
          <w:szCs w:val="22"/>
          <w:lang w:eastAsia="en-GB"/>
        </w:rPr>
      </w:pPr>
      <w:r w:rsidRPr="00A3573B">
        <w:rPr>
          <w:rFonts w:ascii="Kohinoor Devanagari" w:hAnsi="Kohinoor Devanagari" w:cs="Kohinoor Devanagari"/>
          <w:sz w:val="22"/>
          <w:szCs w:val="22"/>
          <w:lang w:eastAsia="en-GB"/>
        </w:rPr>
        <w:t>The Draft Data Classification Policy of Iraq establishes a structured framework for the categorization, management, and security of data in public and private sectors. The policy aims to ensure that data is properly classified, stored, and protected against unauthorized access, breaches, and misuse. to extractive sector data.</w:t>
      </w:r>
    </w:p>
    <w:p w14:paraId="709117D2" w14:textId="358A893D" w:rsidR="002E7144" w:rsidRPr="00A3573B" w:rsidRDefault="00E42ED9" w:rsidP="00FD2B68">
      <w:pPr>
        <w:pStyle w:val="ListParagraph"/>
        <w:numPr>
          <w:ilvl w:val="0"/>
          <w:numId w:val="7"/>
        </w:numPr>
        <w:spacing w:before="120" w:after="120" w:line="240" w:lineRule="auto"/>
        <w:jc w:val="both"/>
        <w:rPr>
          <w:rFonts w:ascii="Kohinoor Devanagari" w:hAnsi="Kohinoor Devanagari" w:cs="Kohinoor Devanagari"/>
          <w:b/>
          <w:bCs/>
          <w:i/>
          <w:iCs/>
          <w:sz w:val="22"/>
          <w:szCs w:val="22"/>
          <w:lang w:eastAsia="en-GB"/>
        </w:rPr>
      </w:pPr>
      <w:r w:rsidRPr="00A3573B">
        <w:rPr>
          <w:rFonts w:ascii="Kohinoor Devanagari" w:hAnsi="Kohinoor Devanagari" w:cs="Kohinoor Devanagari"/>
          <w:b/>
          <w:bCs/>
          <w:i/>
          <w:iCs/>
          <w:sz w:val="22"/>
          <w:szCs w:val="22"/>
          <w:lang w:eastAsia="en-GB"/>
        </w:rPr>
        <w:t xml:space="preserve"> Key Disclosure </w:t>
      </w:r>
      <w:r w:rsidR="0053040C" w:rsidRPr="00A3573B">
        <w:rPr>
          <w:rFonts w:ascii="Kohinoor Devanagari" w:hAnsi="Kohinoor Devanagari" w:cs="Kohinoor Devanagari"/>
          <w:b/>
          <w:bCs/>
          <w:i/>
          <w:iCs/>
          <w:sz w:val="22"/>
          <w:szCs w:val="22"/>
          <w:lang w:eastAsia="en-GB"/>
        </w:rPr>
        <w:t>provisions</w:t>
      </w:r>
    </w:p>
    <w:p w14:paraId="3B1D500B" w14:textId="4929E508" w:rsidR="002E7144" w:rsidRPr="00A3573B" w:rsidRDefault="003352F4"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The following table summarizes the key disclosure requirements outlined in the policy:</w:t>
      </w:r>
    </w:p>
    <w:tbl>
      <w:tblPr>
        <w:tblStyle w:val="TableGrid"/>
        <w:tblW w:w="0" w:type="auto"/>
        <w:tblBorders>
          <w:top w:val="single" w:sz="6" w:space="0" w:color="61BC4D"/>
          <w:left w:val="single" w:sz="6" w:space="0" w:color="61BC4D"/>
          <w:bottom w:val="single" w:sz="6" w:space="0" w:color="61BC4D"/>
          <w:right w:val="single" w:sz="6" w:space="0" w:color="61BC4D"/>
          <w:insideH w:val="single" w:sz="6" w:space="0" w:color="61BC4D"/>
          <w:insideV w:val="single" w:sz="6" w:space="0" w:color="61BC4D"/>
        </w:tblBorders>
        <w:tblLook w:val="04A0" w:firstRow="1" w:lastRow="0" w:firstColumn="1" w:lastColumn="0" w:noHBand="0" w:noVBand="1"/>
      </w:tblPr>
      <w:tblGrid>
        <w:gridCol w:w="2130"/>
        <w:gridCol w:w="1730"/>
        <w:gridCol w:w="3373"/>
        <w:gridCol w:w="2099"/>
      </w:tblGrid>
      <w:tr w:rsidR="003F1D3D" w:rsidRPr="00EC6462" w14:paraId="74D5B659" w14:textId="77777777" w:rsidTr="003F1D3D">
        <w:trPr>
          <w:tblHeader/>
        </w:trPr>
        <w:tc>
          <w:tcPr>
            <w:tcW w:w="0" w:type="auto"/>
            <w:shd w:val="clear" w:color="auto" w:fill="748A96"/>
            <w:hideMark/>
          </w:tcPr>
          <w:p w14:paraId="2891D2D0" w14:textId="77777777" w:rsidR="003F1D3D" w:rsidRPr="00EC6462" w:rsidRDefault="003F1D3D" w:rsidP="00C33FCF">
            <w:pPr>
              <w:spacing w:before="120" w:after="120"/>
              <w:jc w:val="both"/>
              <w:rPr>
                <w:rFonts w:ascii="Kohinoor Devanagari" w:hAnsi="Kohinoor Devanagari" w:cs="Kohinoor Devanagari"/>
                <w:b/>
                <w:bCs/>
                <w:color w:val="FFFFFF" w:themeColor="background1"/>
                <w:sz w:val="20"/>
                <w:szCs w:val="20"/>
                <w:lang w:val="fr-FR" w:eastAsia="en-GB"/>
              </w:rPr>
            </w:pPr>
            <w:r w:rsidRPr="00EC6462">
              <w:rPr>
                <w:rFonts w:ascii="Kohinoor Devanagari" w:hAnsi="Kohinoor Devanagari" w:cs="Kohinoor Devanagari"/>
                <w:b/>
                <w:bCs/>
                <w:color w:val="FFFFFF" w:themeColor="background1"/>
                <w:sz w:val="20"/>
                <w:szCs w:val="20"/>
                <w:lang w:val="fr-FR" w:eastAsia="en-GB"/>
              </w:rPr>
              <w:t>Area</w:t>
            </w:r>
          </w:p>
        </w:tc>
        <w:tc>
          <w:tcPr>
            <w:tcW w:w="0" w:type="auto"/>
            <w:shd w:val="clear" w:color="auto" w:fill="748A96"/>
            <w:hideMark/>
          </w:tcPr>
          <w:p w14:paraId="7D5132ED" w14:textId="77777777" w:rsidR="003F1D3D" w:rsidRPr="00EC6462" w:rsidRDefault="003F1D3D" w:rsidP="00C33FCF">
            <w:pPr>
              <w:spacing w:before="120" w:after="120"/>
              <w:jc w:val="both"/>
              <w:rPr>
                <w:rFonts w:ascii="Kohinoor Devanagari" w:hAnsi="Kohinoor Devanagari" w:cs="Kohinoor Devanagari"/>
                <w:b/>
                <w:bCs/>
                <w:color w:val="FFFFFF" w:themeColor="background1"/>
                <w:sz w:val="20"/>
                <w:szCs w:val="20"/>
                <w:lang w:val="fr-FR" w:eastAsia="en-GB"/>
              </w:rPr>
            </w:pPr>
            <w:r w:rsidRPr="00EC6462">
              <w:rPr>
                <w:rFonts w:ascii="Kohinoor Devanagari" w:hAnsi="Kohinoor Devanagari" w:cs="Kohinoor Devanagari"/>
                <w:b/>
                <w:bCs/>
                <w:color w:val="FFFFFF" w:themeColor="background1"/>
                <w:sz w:val="20"/>
                <w:szCs w:val="20"/>
                <w:lang w:val="fr-FR" w:eastAsia="en-GB"/>
              </w:rPr>
              <w:t>Article/Section</w:t>
            </w:r>
          </w:p>
        </w:tc>
        <w:tc>
          <w:tcPr>
            <w:tcW w:w="0" w:type="auto"/>
            <w:shd w:val="clear" w:color="auto" w:fill="748A96"/>
            <w:hideMark/>
          </w:tcPr>
          <w:p w14:paraId="2F1BA53C" w14:textId="77777777" w:rsidR="003F1D3D" w:rsidRPr="00EC6462" w:rsidRDefault="003F1D3D" w:rsidP="00C33FCF">
            <w:pPr>
              <w:spacing w:before="120" w:after="120"/>
              <w:jc w:val="both"/>
              <w:rPr>
                <w:rFonts w:ascii="Kohinoor Devanagari" w:hAnsi="Kohinoor Devanagari" w:cs="Kohinoor Devanagari"/>
                <w:b/>
                <w:bCs/>
                <w:color w:val="FFFFFF" w:themeColor="background1"/>
                <w:sz w:val="20"/>
                <w:szCs w:val="20"/>
                <w:lang w:val="fr-FR" w:eastAsia="en-GB"/>
              </w:rPr>
            </w:pPr>
            <w:r w:rsidRPr="00EC6462">
              <w:rPr>
                <w:rFonts w:ascii="Kohinoor Devanagari" w:hAnsi="Kohinoor Devanagari" w:cs="Kohinoor Devanagari"/>
                <w:b/>
                <w:bCs/>
                <w:color w:val="FFFFFF" w:themeColor="background1"/>
                <w:sz w:val="20"/>
                <w:szCs w:val="20"/>
                <w:lang w:val="fr-FR" w:eastAsia="en-GB"/>
              </w:rPr>
              <w:t>Key Provision</w:t>
            </w:r>
          </w:p>
        </w:tc>
        <w:tc>
          <w:tcPr>
            <w:tcW w:w="0" w:type="auto"/>
            <w:shd w:val="clear" w:color="auto" w:fill="748A96"/>
            <w:hideMark/>
          </w:tcPr>
          <w:p w14:paraId="529EC171" w14:textId="77777777" w:rsidR="003F1D3D" w:rsidRPr="00EC6462" w:rsidRDefault="003F1D3D" w:rsidP="00C33FCF">
            <w:pPr>
              <w:spacing w:before="120" w:after="120"/>
              <w:jc w:val="both"/>
              <w:rPr>
                <w:rFonts w:ascii="Kohinoor Devanagari" w:hAnsi="Kohinoor Devanagari" w:cs="Kohinoor Devanagari"/>
                <w:b/>
                <w:bCs/>
                <w:color w:val="FFFFFF" w:themeColor="background1"/>
                <w:sz w:val="20"/>
                <w:szCs w:val="20"/>
                <w:lang w:val="fr-FR" w:eastAsia="en-GB"/>
              </w:rPr>
            </w:pPr>
            <w:r w:rsidRPr="00EC6462">
              <w:rPr>
                <w:rFonts w:ascii="Kohinoor Devanagari" w:hAnsi="Kohinoor Devanagari" w:cs="Kohinoor Devanagari"/>
                <w:b/>
                <w:bCs/>
                <w:color w:val="FFFFFF" w:themeColor="background1"/>
                <w:sz w:val="20"/>
                <w:szCs w:val="20"/>
                <w:lang w:val="fr-FR" w:eastAsia="en-GB"/>
              </w:rPr>
              <w:t>Frequency</w:t>
            </w:r>
          </w:p>
        </w:tc>
      </w:tr>
      <w:tr w:rsidR="003F1D3D" w:rsidRPr="00877C7F" w14:paraId="38054E58" w14:textId="77777777" w:rsidTr="003F1D3D">
        <w:tc>
          <w:tcPr>
            <w:tcW w:w="0" w:type="auto"/>
            <w:hideMark/>
          </w:tcPr>
          <w:p w14:paraId="45C16B51"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b/>
                <w:bCs/>
                <w:sz w:val="20"/>
                <w:szCs w:val="20"/>
                <w:lang w:eastAsia="en-GB"/>
              </w:rPr>
              <w:t>Public Data Classification</w:t>
            </w:r>
          </w:p>
        </w:tc>
        <w:tc>
          <w:tcPr>
            <w:tcW w:w="0" w:type="auto"/>
            <w:hideMark/>
          </w:tcPr>
          <w:p w14:paraId="283EED5A"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Section 5.3 (Level 1)</w:t>
            </w:r>
          </w:p>
        </w:tc>
        <w:tc>
          <w:tcPr>
            <w:tcW w:w="0" w:type="auto"/>
            <w:hideMark/>
          </w:tcPr>
          <w:p w14:paraId="112450E4"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Open data including policies, laws, and regulations must be accessible to the public.</w:t>
            </w:r>
          </w:p>
        </w:tc>
        <w:tc>
          <w:tcPr>
            <w:tcW w:w="0" w:type="auto"/>
            <w:hideMark/>
          </w:tcPr>
          <w:p w14:paraId="39400156" w14:textId="77777777" w:rsidR="003F1D3D" w:rsidRPr="00877C7F" w:rsidRDefault="003F1D3D" w:rsidP="00C33FCF">
            <w:pPr>
              <w:spacing w:before="120" w:after="120"/>
              <w:jc w:val="both"/>
              <w:rPr>
                <w:rFonts w:ascii="Kohinoor Devanagari" w:hAnsi="Kohinoor Devanagari" w:cs="Kohinoor Devanagari"/>
                <w:sz w:val="20"/>
                <w:szCs w:val="20"/>
                <w:lang w:eastAsia="en-GB"/>
              </w:rPr>
            </w:pPr>
          </w:p>
        </w:tc>
      </w:tr>
      <w:tr w:rsidR="003F1D3D" w:rsidRPr="00877C7F" w14:paraId="579E53FF" w14:textId="77777777" w:rsidTr="003F1D3D">
        <w:tc>
          <w:tcPr>
            <w:tcW w:w="0" w:type="auto"/>
            <w:hideMark/>
          </w:tcPr>
          <w:p w14:paraId="3E9B66A0"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b/>
                <w:bCs/>
                <w:sz w:val="20"/>
                <w:szCs w:val="20"/>
                <w:lang w:eastAsia="en-GB"/>
              </w:rPr>
              <w:t>Data Documentation and Updates</w:t>
            </w:r>
          </w:p>
        </w:tc>
        <w:tc>
          <w:tcPr>
            <w:tcW w:w="0" w:type="auto"/>
            <w:hideMark/>
          </w:tcPr>
          <w:p w14:paraId="6ABCEE1A"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Section 5.1.3</w:t>
            </w:r>
          </w:p>
        </w:tc>
        <w:tc>
          <w:tcPr>
            <w:tcW w:w="0" w:type="auto"/>
            <w:hideMark/>
          </w:tcPr>
          <w:p w14:paraId="6D073D73"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Data owners must maintain and periodically update a data registry.</w:t>
            </w:r>
          </w:p>
        </w:tc>
        <w:tc>
          <w:tcPr>
            <w:tcW w:w="0" w:type="auto"/>
            <w:hideMark/>
          </w:tcPr>
          <w:p w14:paraId="49CD5518"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Periodic (e.g., quarterly, annually)</w:t>
            </w:r>
          </w:p>
        </w:tc>
      </w:tr>
      <w:tr w:rsidR="003F1D3D" w:rsidRPr="00877C7F" w14:paraId="43D52DCE" w14:textId="77777777" w:rsidTr="003F1D3D">
        <w:tc>
          <w:tcPr>
            <w:tcW w:w="0" w:type="auto"/>
            <w:hideMark/>
          </w:tcPr>
          <w:p w14:paraId="70094B67"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b/>
                <w:bCs/>
                <w:sz w:val="20"/>
                <w:szCs w:val="20"/>
                <w:lang w:eastAsia="en-GB"/>
              </w:rPr>
              <w:lastRenderedPageBreak/>
              <w:t>Policy Scope</w:t>
            </w:r>
          </w:p>
        </w:tc>
        <w:tc>
          <w:tcPr>
            <w:tcW w:w="0" w:type="auto"/>
            <w:hideMark/>
          </w:tcPr>
          <w:p w14:paraId="2F9EB298"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Section 4</w:t>
            </w:r>
          </w:p>
        </w:tc>
        <w:tc>
          <w:tcPr>
            <w:tcW w:w="0" w:type="auto"/>
            <w:hideMark/>
          </w:tcPr>
          <w:p w14:paraId="76363494"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Applies to all data processed, stored, or transferred by public and private entities.</w:t>
            </w:r>
          </w:p>
        </w:tc>
        <w:tc>
          <w:tcPr>
            <w:tcW w:w="0" w:type="auto"/>
            <w:hideMark/>
          </w:tcPr>
          <w:p w14:paraId="188BF6EC" w14:textId="77777777" w:rsidR="003F1D3D" w:rsidRPr="00877C7F" w:rsidRDefault="003F1D3D" w:rsidP="00C33FCF">
            <w:pPr>
              <w:spacing w:before="120" w:after="120"/>
              <w:jc w:val="both"/>
              <w:rPr>
                <w:rFonts w:ascii="Kohinoor Devanagari" w:hAnsi="Kohinoor Devanagari" w:cs="Kohinoor Devanagari"/>
                <w:sz w:val="20"/>
                <w:szCs w:val="20"/>
                <w:lang w:eastAsia="en-GB"/>
              </w:rPr>
            </w:pPr>
          </w:p>
        </w:tc>
      </w:tr>
      <w:tr w:rsidR="003F1D3D" w:rsidRPr="00877C7F" w14:paraId="0FA29E3A" w14:textId="77777777" w:rsidTr="003F1D3D">
        <w:tc>
          <w:tcPr>
            <w:tcW w:w="0" w:type="auto"/>
            <w:hideMark/>
          </w:tcPr>
          <w:p w14:paraId="644B1006"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b/>
                <w:bCs/>
                <w:sz w:val="20"/>
                <w:szCs w:val="20"/>
                <w:lang w:eastAsia="en-GB"/>
              </w:rPr>
              <w:t>Institutional Responsibilities</w:t>
            </w:r>
          </w:p>
        </w:tc>
        <w:tc>
          <w:tcPr>
            <w:tcW w:w="0" w:type="auto"/>
            <w:hideMark/>
          </w:tcPr>
          <w:p w14:paraId="2EB2AE5E"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Section 5.4.1</w:t>
            </w:r>
          </w:p>
        </w:tc>
        <w:tc>
          <w:tcPr>
            <w:tcW w:w="0" w:type="auto"/>
            <w:hideMark/>
          </w:tcPr>
          <w:p w14:paraId="17D80D1D"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Public and private entities must ensure compliance and report any policy breaches.</w:t>
            </w:r>
          </w:p>
        </w:tc>
        <w:tc>
          <w:tcPr>
            <w:tcW w:w="0" w:type="auto"/>
            <w:hideMark/>
          </w:tcPr>
          <w:p w14:paraId="567BD784"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Quarterly/Annual</w:t>
            </w:r>
          </w:p>
        </w:tc>
      </w:tr>
      <w:tr w:rsidR="003F1D3D" w:rsidRPr="00877C7F" w14:paraId="23618BC8" w14:textId="77777777" w:rsidTr="003F1D3D">
        <w:tc>
          <w:tcPr>
            <w:tcW w:w="0" w:type="auto"/>
            <w:hideMark/>
          </w:tcPr>
          <w:p w14:paraId="6C9CCEBD"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b/>
                <w:bCs/>
                <w:sz w:val="20"/>
                <w:szCs w:val="20"/>
                <w:lang w:eastAsia="en-GB"/>
              </w:rPr>
              <w:t>Centralized Access and Reporting</w:t>
            </w:r>
          </w:p>
        </w:tc>
        <w:tc>
          <w:tcPr>
            <w:tcW w:w="0" w:type="auto"/>
            <w:hideMark/>
          </w:tcPr>
          <w:p w14:paraId="56B4274A"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Section 5.4.1-a-6</w:t>
            </w:r>
          </w:p>
        </w:tc>
        <w:tc>
          <w:tcPr>
            <w:tcW w:w="0" w:type="auto"/>
            <w:hideMark/>
          </w:tcPr>
          <w:p w14:paraId="58541AD2"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Entities must appoint a contact person to submit periodic reports on compliance.</w:t>
            </w:r>
          </w:p>
        </w:tc>
        <w:tc>
          <w:tcPr>
            <w:tcW w:w="0" w:type="auto"/>
            <w:hideMark/>
          </w:tcPr>
          <w:p w14:paraId="2D95DB6F"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Quarterly</w:t>
            </w:r>
          </w:p>
        </w:tc>
      </w:tr>
      <w:tr w:rsidR="003F1D3D" w:rsidRPr="00877C7F" w14:paraId="44A3C0B5" w14:textId="77777777" w:rsidTr="003F1D3D">
        <w:tc>
          <w:tcPr>
            <w:tcW w:w="0" w:type="auto"/>
            <w:hideMark/>
          </w:tcPr>
          <w:p w14:paraId="703C474D"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b/>
                <w:bCs/>
                <w:sz w:val="20"/>
                <w:szCs w:val="20"/>
                <w:lang w:eastAsia="en-GB"/>
              </w:rPr>
              <w:t>Encryption Requirements</w:t>
            </w:r>
          </w:p>
        </w:tc>
        <w:tc>
          <w:tcPr>
            <w:tcW w:w="0" w:type="auto"/>
            <w:hideMark/>
          </w:tcPr>
          <w:p w14:paraId="53885865"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Section 5.1.4</w:t>
            </w:r>
          </w:p>
        </w:tc>
        <w:tc>
          <w:tcPr>
            <w:tcW w:w="0" w:type="auto"/>
            <w:hideMark/>
          </w:tcPr>
          <w:p w14:paraId="30B40B9C"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Classified data (Levels 3 and 4) must be encrypted when transferred between government entities.</w:t>
            </w:r>
          </w:p>
        </w:tc>
        <w:tc>
          <w:tcPr>
            <w:tcW w:w="0" w:type="auto"/>
            <w:hideMark/>
          </w:tcPr>
          <w:p w14:paraId="062E2F40" w14:textId="77777777" w:rsidR="003F1D3D" w:rsidRPr="00877C7F" w:rsidRDefault="003F1D3D" w:rsidP="00C33FCF">
            <w:pPr>
              <w:spacing w:before="120" w:after="120"/>
              <w:jc w:val="both"/>
              <w:rPr>
                <w:rFonts w:ascii="Kohinoor Devanagari" w:hAnsi="Kohinoor Devanagari" w:cs="Kohinoor Devanagari"/>
                <w:sz w:val="20"/>
                <w:szCs w:val="20"/>
                <w:lang w:eastAsia="en-GB"/>
              </w:rPr>
            </w:pPr>
          </w:p>
        </w:tc>
      </w:tr>
      <w:tr w:rsidR="003F1D3D" w:rsidRPr="00877C7F" w14:paraId="11BDE767" w14:textId="77777777" w:rsidTr="003F1D3D">
        <w:tc>
          <w:tcPr>
            <w:tcW w:w="0" w:type="auto"/>
            <w:hideMark/>
          </w:tcPr>
          <w:p w14:paraId="5924C761"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b/>
                <w:bCs/>
                <w:sz w:val="20"/>
                <w:szCs w:val="20"/>
                <w:lang w:eastAsia="en-GB"/>
              </w:rPr>
              <w:t>Data Retention and Disposal</w:t>
            </w:r>
          </w:p>
        </w:tc>
        <w:tc>
          <w:tcPr>
            <w:tcW w:w="0" w:type="auto"/>
            <w:hideMark/>
          </w:tcPr>
          <w:p w14:paraId="7301B618"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Section 5.1.5</w:t>
            </w:r>
          </w:p>
        </w:tc>
        <w:tc>
          <w:tcPr>
            <w:tcW w:w="0" w:type="auto"/>
            <w:hideMark/>
          </w:tcPr>
          <w:p w14:paraId="23B3991A"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Sensitive data must be removed before decommissioning IT infrastructure.</w:t>
            </w:r>
          </w:p>
        </w:tc>
        <w:tc>
          <w:tcPr>
            <w:tcW w:w="0" w:type="auto"/>
            <w:hideMark/>
          </w:tcPr>
          <w:p w14:paraId="3C0540F4" w14:textId="77777777" w:rsidR="003F1D3D" w:rsidRPr="00877C7F" w:rsidRDefault="003F1D3D" w:rsidP="00C33FCF">
            <w:pPr>
              <w:spacing w:before="120" w:after="120"/>
              <w:jc w:val="both"/>
              <w:rPr>
                <w:rFonts w:ascii="Kohinoor Devanagari" w:hAnsi="Kohinoor Devanagari" w:cs="Kohinoor Devanagari"/>
                <w:sz w:val="20"/>
                <w:szCs w:val="20"/>
                <w:lang w:eastAsia="en-GB"/>
              </w:rPr>
            </w:pPr>
          </w:p>
        </w:tc>
      </w:tr>
      <w:tr w:rsidR="003F1D3D" w:rsidRPr="00877C7F" w14:paraId="4343C67F" w14:textId="77777777" w:rsidTr="003F1D3D">
        <w:tc>
          <w:tcPr>
            <w:tcW w:w="0" w:type="auto"/>
            <w:hideMark/>
          </w:tcPr>
          <w:p w14:paraId="3D6314B6"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b/>
                <w:bCs/>
                <w:sz w:val="20"/>
                <w:szCs w:val="20"/>
                <w:lang w:eastAsia="en-GB"/>
              </w:rPr>
              <w:t>Data Classification Team Formation</w:t>
            </w:r>
          </w:p>
        </w:tc>
        <w:tc>
          <w:tcPr>
            <w:tcW w:w="0" w:type="auto"/>
            <w:hideMark/>
          </w:tcPr>
          <w:p w14:paraId="1D1E7019"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Section 5.2.3</w:t>
            </w:r>
          </w:p>
        </w:tc>
        <w:tc>
          <w:tcPr>
            <w:tcW w:w="0" w:type="auto"/>
            <w:hideMark/>
          </w:tcPr>
          <w:p w14:paraId="33BF2ABA"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A classification team must be established to oversee data categorization.</w:t>
            </w:r>
          </w:p>
        </w:tc>
        <w:tc>
          <w:tcPr>
            <w:tcW w:w="0" w:type="auto"/>
            <w:hideMark/>
          </w:tcPr>
          <w:p w14:paraId="47D6EB86" w14:textId="77777777" w:rsidR="003F1D3D" w:rsidRPr="00877C7F" w:rsidRDefault="003F1D3D" w:rsidP="00C33FCF">
            <w:pPr>
              <w:spacing w:before="120" w:after="120"/>
              <w:jc w:val="both"/>
              <w:rPr>
                <w:rFonts w:ascii="Kohinoor Devanagari" w:hAnsi="Kohinoor Devanagari" w:cs="Kohinoor Devanagari"/>
                <w:sz w:val="20"/>
                <w:szCs w:val="20"/>
                <w:lang w:eastAsia="en-GB"/>
              </w:rPr>
            </w:pPr>
          </w:p>
        </w:tc>
      </w:tr>
      <w:tr w:rsidR="003F1D3D" w:rsidRPr="00877C7F" w14:paraId="71F22C51" w14:textId="77777777" w:rsidTr="003F1D3D">
        <w:tc>
          <w:tcPr>
            <w:tcW w:w="0" w:type="auto"/>
            <w:hideMark/>
          </w:tcPr>
          <w:p w14:paraId="1A22C1AB"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b/>
                <w:bCs/>
                <w:sz w:val="20"/>
                <w:szCs w:val="20"/>
                <w:lang w:eastAsia="en-GB"/>
              </w:rPr>
              <w:t>Public Access to Open Data</w:t>
            </w:r>
          </w:p>
        </w:tc>
        <w:tc>
          <w:tcPr>
            <w:tcW w:w="0" w:type="auto"/>
            <w:hideMark/>
          </w:tcPr>
          <w:p w14:paraId="426C7432"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Section 5.3 (Level 1)</w:t>
            </w:r>
          </w:p>
        </w:tc>
        <w:tc>
          <w:tcPr>
            <w:tcW w:w="0" w:type="auto"/>
            <w:hideMark/>
          </w:tcPr>
          <w:p w14:paraId="55B2690C" w14:textId="77777777" w:rsidR="003F1D3D" w:rsidRPr="00877C7F" w:rsidRDefault="003F1D3D"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Publicly available data must be accessible without restrictions.</w:t>
            </w:r>
          </w:p>
        </w:tc>
        <w:tc>
          <w:tcPr>
            <w:tcW w:w="0" w:type="auto"/>
            <w:hideMark/>
          </w:tcPr>
          <w:p w14:paraId="3874C4C1" w14:textId="77777777" w:rsidR="003F1D3D" w:rsidRPr="00877C7F" w:rsidRDefault="003F1D3D" w:rsidP="00C33FCF">
            <w:pPr>
              <w:spacing w:before="120" w:after="120"/>
              <w:jc w:val="both"/>
              <w:rPr>
                <w:rFonts w:ascii="Kohinoor Devanagari" w:hAnsi="Kohinoor Devanagari" w:cs="Kohinoor Devanagari"/>
                <w:sz w:val="20"/>
                <w:szCs w:val="20"/>
                <w:lang w:eastAsia="en-GB"/>
              </w:rPr>
            </w:pPr>
          </w:p>
        </w:tc>
      </w:tr>
    </w:tbl>
    <w:p w14:paraId="1FD78FBD" w14:textId="77777777" w:rsidR="00904DC3" w:rsidRPr="00A3573B" w:rsidRDefault="00904DC3" w:rsidP="00FD2B68">
      <w:pPr>
        <w:pStyle w:val="ListParagraph"/>
        <w:numPr>
          <w:ilvl w:val="0"/>
          <w:numId w:val="9"/>
        </w:numPr>
        <w:spacing w:before="120" w:after="120" w:line="240" w:lineRule="auto"/>
        <w:jc w:val="both"/>
        <w:rPr>
          <w:rFonts w:ascii="Kohinoor Devanagari" w:hAnsi="Kohinoor Devanagari" w:cs="Kohinoor Devanagari"/>
          <w:b/>
          <w:bCs/>
          <w:i/>
          <w:iCs/>
          <w:sz w:val="22"/>
          <w:szCs w:val="22"/>
          <w:lang w:eastAsia="en-GB"/>
        </w:rPr>
      </w:pPr>
      <w:r w:rsidRPr="00A3573B">
        <w:rPr>
          <w:rFonts w:ascii="Kohinoor Devanagari" w:hAnsi="Kohinoor Devanagari" w:cs="Kohinoor Devanagari"/>
          <w:b/>
          <w:bCs/>
          <w:i/>
          <w:iCs/>
          <w:sz w:val="22"/>
          <w:szCs w:val="22"/>
          <w:lang w:eastAsia="en-GB"/>
        </w:rPr>
        <w:t xml:space="preserve">Challenges and Limitations </w:t>
      </w:r>
    </w:p>
    <w:p w14:paraId="429BCAF2" w14:textId="77777777" w:rsidR="002B33E9" w:rsidRPr="00A3573B" w:rsidRDefault="002B33E9"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Despite the comprehensive framework proposed in Iraq’s Draft Data Classification Policy, several challenges could hinder its effective implementation and impact the systematic disclosure of extractive sector data.</w:t>
      </w:r>
    </w:p>
    <w:p w14:paraId="6DC583CC" w14:textId="7FE89C82" w:rsidR="002B33E9" w:rsidRPr="00A3573B" w:rsidRDefault="002B33E9" w:rsidP="00FD2B68">
      <w:pPr>
        <w:numPr>
          <w:ilvl w:val="0"/>
          <w:numId w:val="10"/>
        </w:numPr>
        <w:spacing w:before="120" w:after="120" w:line="240" w:lineRule="auto"/>
        <w:ind w:left="714" w:hanging="357"/>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 xml:space="preserve">Legal Uncertainty: </w:t>
      </w:r>
      <w:r w:rsidRPr="00A3573B">
        <w:rPr>
          <w:rFonts w:ascii="Kohinoor Devanagari" w:hAnsi="Kohinoor Devanagari" w:cs="Kohinoor Devanagari"/>
          <w:sz w:val="22"/>
          <w:szCs w:val="22"/>
          <w:lang w:eastAsia="en-GB"/>
        </w:rPr>
        <w:t>As the policy is still in draft form, the lack of binding legal obligations may lead to inconsistent implementation across entities.</w:t>
      </w:r>
    </w:p>
    <w:p w14:paraId="4D5E19CD" w14:textId="5505F830" w:rsidR="002B33E9" w:rsidRPr="00A3573B" w:rsidRDefault="002B33E9" w:rsidP="00FD2B68">
      <w:pPr>
        <w:numPr>
          <w:ilvl w:val="0"/>
          <w:numId w:val="10"/>
        </w:numPr>
        <w:spacing w:before="120" w:after="120" w:line="240" w:lineRule="auto"/>
        <w:ind w:left="714" w:hanging="357"/>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 xml:space="preserve">Overclassification of Extractive Sector Data: </w:t>
      </w:r>
      <w:r w:rsidRPr="00A3573B">
        <w:rPr>
          <w:rFonts w:ascii="Kohinoor Devanagari" w:hAnsi="Kohinoor Devanagari" w:cs="Kohinoor Devanagari"/>
          <w:sz w:val="22"/>
          <w:szCs w:val="22"/>
          <w:lang w:eastAsia="en-GB"/>
        </w:rPr>
        <w:t>Classifying key extractive sector information—such as contracts, licenses, and fiscal payments—under the “highly sensitive” (Level 4) category could unnecessarily restrict public access and hinder compliance with EITI requirements.</w:t>
      </w:r>
    </w:p>
    <w:p w14:paraId="2E10AE82" w14:textId="210A9B74" w:rsidR="002B33E9" w:rsidRPr="00A3573B" w:rsidRDefault="002B33E9" w:rsidP="00FD2B68">
      <w:pPr>
        <w:numPr>
          <w:ilvl w:val="0"/>
          <w:numId w:val="10"/>
        </w:numPr>
        <w:spacing w:before="120" w:after="120" w:line="240" w:lineRule="auto"/>
        <w:ind w:left="714" w:hanging="357"/>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lastRenderedPageBreak/>
        <w:t xml:space="preserve">Limited Public Access Mechanisms: </w:t>
      </w:r>
      <w:r w:rsidRPr="00A3573B">
        <w:rPr>
          <w:rFonts w:ascii="Kohinoor Devanagari" w:hAnsi="Kohinoor Devanagari" w:cs="Kohinoor Devanagari"/>
          <w:sz w:val="22"/>
          <w:szCs w:val="22"/>
          <w:lang w:eastAsia="en-GB"/>
        </w:rPr>
        <w:t>While the policy emphasizes data protection, it lacks provisions to ensure public accessibility and usability of extractive sector data, leading to inconsistencies in disclosure practices.</w:t>
      </w:r>
    </w:p>
    <w:p w14:paraId="51036D51" w14:textId="588820D6" w:rsidR="002B33E9" w:rsidRPr="00A3573B" w:rsidRDefault="002B33E9" w:rsidP="00FD2B68">
      <w:pPr>
        <w:numPr>
          <w:ilvl w:val="0"/>
          <w:numId w:val="10"/>
        </w:numPr>
        <w:spacing w:before="120" w:after="120" w:line="240" w:lineRule="auto"/>
        <w:ind w:left="714" w:hanging="357"/>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 xml:space="preserve">Discretionary Application: </w:t>
      </w:r>
      <w:r w:rsidRPr="00A3573B">
        <w:rPr>
          <w:rFonts w:ascii="Kohinoor Devanagari" w:hAnsi="Kohinoor Devanagari" w:cs="Kohinoor Devanagari"/>
          <w:sz w:val="22"/>
          <w:szCs w:val="22"/>
          <w:lang w:eastAsia="en-GB"/>
        </w:rPr>
        <w:t>The broad discretion granted to data owners in classification decisions may result in inconsistent practices and excessive restrictions on critical financial and operational data.</w:t>
      </w:r>
    </w:p>
    <w:p w14:paraId="0B85B032" w14:textId="06EECF48" w:rsidR="002B33E9" w:rsidRPr="00A3573B" w:rsidRDefault="002B33E9" w:rsidP="00FD2B68">
      <w:pPr>
        <w:numPr>
          <w:ilvl w:val="0"/>
          <w:numId w:val="10"/>
        </w:numPr>
        <w:spacing w:before="120" w:after="120" w:line="240" w:lineRule="auto"/>
        <w:ind w:left="714" w:hanging="357"/>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 xml:space="preserve">Restricted Public Disclosure: </w:t>
      </w:r>
      <w:r w:rsidRPr="00A3573B">
        <w:rPr>
          <w:rFonts w:ascii="Kohinoor Devanagari" w:hAnsi="Kohinoor Devanagari" w:cs="Kohinoor Devanagari"/>
          <w:sz w:val="22"/>
          <w:szCs w:val="22"/>
          <w:lang w:eastAsia="en-GB"/>
        </w:rPr>
        <w:t>Although Class 2 allows data sharing within authorized entities, it does not guarantee proactive publication, which could limit public access to beneficial ownership information.</w:t>
      </w:r>
    </w:p>
    <w:p w14:paraId="22C513A1" w14:textId="1EC8DCF6" w:rsidR="002B33E9" w:rsidRPr="00A3573B" w:rsidRDefault="002B33E9" w:rsidP="00FD2B68">
      <w:pPr>
        <w:numPr>
          <w:ilvl w:val="0"/>
          <w:numId w:val="10"/>
        </w:numPr>
        <w:spacing w:before="120" w:after="120" w:line="240" w:lineRule="auto"/>
        <w:ind w:left="714" w:hanging="357"/>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 xml:space="preserve">Weak Enforcement Measures: </w:t>
      </w:r>
      <w:r w:rsidRPr="00A3573B">
        <w:rPr>
          <w:rFonts w:ascii="Kohinoor Devanagari" w:hAnsi="Kohinoor Devanagari" w:cs="Kohinoor Devanagari"/>
          <w:sz w:val="22"/>
          <w:szCs w:val="22"/>
          <w:lang w:eastAsia="en-GB"/>
        </w:rPr>
        <w:t>The absence of clear penalties and oversight mechanisms increases the risk of non-compliance, undermining transparency efforts.</w:t>
      </w:r>
    </w:p>
    <w:p w14:paraId="7D8EDA6E" w14:textId="7175BEB9" w:rsidR="002B33E9" w:rsidRPr="00A3573B" w:rsidRDefault="002B33E9" w:rsidP="00FD2B68">
      <w:pPr>
        <w:numPr>
          <w:ilvl w:val="0"/>
          <w:numId w:val="10"/>
        </w:numPr>
        <w:spacing w:before="120" w:after="120" w:line="240" w:lineRule="auto"/>
        <w:ind w:left="714" w:hanging="357"/>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 xml:space="preserve">Broad Definition of Personal Data: </w:t>
      </w:r>
      <w:r w:rsidRPr="00A3573B">
        <w:rPr>
          <w:rFonts w:ascii="Kohinoor Devanagari" w:hAnsi="Kohinoor Devanagari" w:cs="Kohinoor Devanagari"/>
          <w:sz w:val="22"/>
          <w:szCs w:val="22"/>
          <w:lang w:eastAsia="en-GB"/>
        </w:rPr>
        <w:t>The expansive definition of personal data could unnecessarily limit the disclosure of financial and contractual information essential for public accountability.</w:t>
      </w:r>
    </w:p>
    <w:p w14:paraId="30419AAE" w14:textId="098CCA19" w:rsidR="00FE7A69" w:rsidRPr="00A3573B" w:rsidRDefault="00FE7A69" w:rsidP="00FD2B68">
      <w:pPr>
        <w:pStyle w:val="Heading3"/>
        <w:numPr>
          <w:ilvl w:val="2"/>
          <w:numId w:val="74"/>
        </w:numPr>
        <w:spacing w:before="120" w:after="120" w:line="240" w:lineRule="auto"/>
        <w:ind w:left="567" w:hanging="567"/>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 xml:space="preserve">Draft </w:t>
      </w:r>
      <w:r w:rsidR="009970D8" w:rsidRPr="00A3573B">
        <w:rPr>
          <w:rFonts w:ascii="Kohinoor Devanagari" w:hAnsi="Kohinoor Devanagari" w:cs="Kohinoor Devanagari"/>
          <w:b/>
          <w:bCs/>
          <w:sz w:val="22"/>
          <w:szCs w:val="22"/>
          <w:lang w:eastAsia="en-GB"/>
        </w:rPr>
        <w:t>Right to information Act (2023</w:t>
      </w:r>
      <w:r w:rsidR="00503DCC" w:rsidRPr="00A3573B">
        <w:rPr>
          <w:rFonts w:ascii="Kohinoor Devanagari" w:hAnsi="Kohinoor Devanagari" w:cs="Kohinoor Devanagari"/>
          <w:b/>
          <w:bCs/>
          <w:sz w:val="22"/>
          <w:szCs w:val="22"/>
          <w:lang w:eastAsia="en-GB"/>
        </w:rPr>
        <w:t>)</w:t>
      </w:r>
    </w:p>
    <w:p w14:paraId="6AC2CAEE" w14:textId="3E1E6C69" w:rsidR="00904DC3" w:rsidRPr="00A3573B" w:rsidRDefault="00752245"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The Draft Right to Information (RTI) Act 2023 of Iraq aims to establish a legal framework for public access to government-held information. The policy is intended to promote transparency, accountability, and good governance by granting individuals the right to request and obtain information from public bodies.</w:t>
      </w:r>
    </w:p>
    <w:p w14:paraId="7E135578" w14:textId="77777777" w:rsidR="000E4A0B" w:rsidRPr="00A3573B" w:rsidRDefault="000E4A0B" w:rsidP="00FD2B68">
      <w:pPr>
        <w:pStyle w:val="ListParagraph"/>
        <w:numPr>
          <w:ilvl w:val="0"/>
          <w:numId w:val="7"/>
        </w:numPr>
        <w:spacing w:before="120" w:after="120" w:line="240" w:lineRule="auto"/>
        <w:jc w:val="both"/>
        <w:rPr>
          <w:rFonts w:ascii="Kohinoor Devanagari" w:hAnsi="Kohinoor Devanagari" w:cs="Kohinoor Devanagari"/>
          <w:b/>
          <w:bCs/>
          <w:i/>
          <w:iCs/>
          <w:sz w:val="22"/>
          <w:szCs w:val="22"/>
          <w:lang w:eastAsia="en-GB"/>
        </w:rPr>
      </w:pPr>
      <w:r w:rsidRPr="00A3573B">
        <w:rPr>
          <w:rFonts w:ascii="Kohinoor Devanagari" w:hAnsi="Kohinoor Devanagari" w:cs="Kohinoor Devanagari"/>
          <w:b/>
          <w:bCs/>
          <w:i/>
          <w:iCs/>
          <w:sz w:val="22"/>
          <w:szCs w:val="22"/>
          <w:lang w:eastAsia="en-GB"/>
        </w:rPr>
        <w:t>Key Data Disclosure provisions</w:t>
      </w:r>
    </w:p>
    <w:p w14:paraId="07069B6C" w14:textId="7B866B6A" w:rsidR="00B54431" w:rsidRPr="00E23F20" w:rsidRDefault="00276190" w:rsidP="00E23F20">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 xml:space="preserve">The Draft Right to Information (RTI) Act (2023) includes several provisions that impact the disclosure of data related to the extractive industries. These provisions determine the scope, accessibility, and mechanisms for the disclosure of public information, which is critical for compliance with the </w:t>
      </w:r>
      <w:r w:rsidR="00A8448D" w:rsidRPr="00A3573B">
        <w:rPr>
          <w:rFonts w:ascii="Kohinoor Devanagari" w:hAnsi="Kohinoor Devanagari" w:cs="Kohinoor Devanagari"/>
          <w:sz w:val="22"/>
          <w:szCs w:val="22"/>
          <w:lang w:eastAsia="en-GB"/>
        </w:rPr>
        <w:t>EITI</w:t>
      </w:r>
      <w:r w:rsidRPr="00A3573B">
        <w:rPr>
          <w:rFonts w:ascii="Kohinoor Devanagari" w:hAnsi="Kohinoor Devanagari" w:cs="Kohinoor Devanagari"/>
          <w:sz w:val="22"/>
          <w:szCs w:val="22"/>
          <w:lang w:eastAsia="en-GB"/>
        </w:rPr>
        <w:t xml:space="preserve"> standard</w:t>
      </w:r>
      <w:r w:rsidR="00A8448D" w:rsidRPr="00A3573B">
        <w:rPr>
          <w:rFonts w:ascii="Kohinoor Devanagari" w:hAnsi="Kohinoor Devanagari" w:cs="Kohinoor Devanagari"/>
          <w:sz w:val="22"/>
          <w:szCs w:val="22"/>
          <w:lang w:eastAsia="en-GB"/>
        </w:rPr>
        <w:t>. Below is an analysis of the key provisions related to data disclosure.</w:t>
      </w:r>
    </w:p>
    <w:tbl>
      <w:tblPr>
        <w:tblStyle w:val="TableGrid"/>
        <w:tblW w:w="0" w:type="auto"/>
        <w:tblBorders>
          <w:top w:val="single" w:sz="6" w:space="0" w:color="61BC4D"/>
          <w:left w:val="single" w:sz="6" w:space="0" w:color="61BC4D"/>
          <w:bottom w:val="single" w:sz="6" w:space="0" w:color="61BC4D"/>
          <w:right w:val="single" w:sz="6" w:space="0" w:color="61BC4D"/>
          <w:insideH w:val="single" w:sz="6" w:space="0" w:color="61BC4D"/>
          <w:insideV w:val="single" w:sz="6" w:space="0" w:color="61BC4D"/>
        </w:tblBorders>
        <w:tblLook w:val="04A0" w:firstRow="1" w:lastRow="0" w:firstColumn="1" w:lastColumn="0" w:noHBand="0" w:noVBand="1"/>
      </w:tblPr>
      <w:tblGrid>
        <w:gridCol w:w="1617"/>
        <w:gridCol w:w="1209"/>
        <w:gridCol w:w="3261"/>
        <w:gridCol w:w="3245"/>
      </w:tblGrid>
      <w:tr w:rsidR="00B54431" w:rsidRPr="00EC6462" w14:paraId="1ACDB198" w14:textId="77777777" w:rsidTr="006C7968">
        <w:trPr>
          <w:tblHeader/>
        </w:trPr>
        <w:tc>
          <w:tcPr>
            <w:tcW w:w="0" w:type="auto"/>
            <w:shd w:val="clear" w:color="auto" w:fill="748A96"/>
            <w:hideMark/>
          </w:tcPr>
          <w:p w14:paraId="23854545" w14:textId="77777777" w:rsidR="00B54431" w:rsidRPr="00EC6462" w:rsidRDefault="00B54431" w:rsidP="00C33FCF">
            <w:pPr>
              <w:spacing w:before="120" w:after="120"/>
              <w:jc w:val="both"/>
              <w:rPr>
                <w:rFonts w:ascii="Kohinoor Devanagari" w:hAnsi="Kohinoor Devanagari" w:cs="Kohinoor Devanagari"/>
                <w:b/>
                <w:bCs/>
                <w:color w:val="FFFFFF" w:themeColor="background1"/>
                <w:sz w:val="20"/>
                <w:szCs w:val="20"/>
                <w:lang w:val="fr-FR" w:eastAsia="en-GB"/>
              </w:rPr>
            </w:pPr>
            <w:r w:rsidRPr="00EC6462">
              <w:rPr>
                <w:rFonts w:ascii="Kohinoor Devanagari" w:hAnsi="Kohinoor Devanagari" w:cs="Kohinoor Devanagari"/>
                <w:b/>
                <w:bCs/>
                <w:color w:val="FFFFFF" w:themeColor="background1"/>
                <w:sz w:val="20"/>
                <w:szCs w:val="20"/>
                <w:lang w:val="fr-FR" w:eastAsia="en-GB"/>
              </w:rPr>
              <w:t>Provision Area</w:t>
            </w:r>
          </w:p>
        </w:tc>
        <w:tc>
          <w:tcPr>
            <w:tcW w:w="0" w:type="auto"/>
            <w:shd w:val="clear" w:color="auto" w:fill="748A96"/>
            <w:hideMark/>
          </w:tcPr>
          <w:p w14:paraId="4ABF2309" w14:textId="77777777" w:rsidR="00B54431" w:rsidRPr="00EC6462" w:rsidRDefault="00B54431" w:rsidP="00C33FCF">
            <w:pPr>
              <w:spacing w:before="120" w:after="120"/>
              <w:jc w:val="both"/>
              <w:rPr>
                <w:rFonts w:ascii="Kohinoor Devanagari" w:hAnsi="Kohinoor Devanagari" w:cs="Kohinoor Devanagari"/>
                <w:b/>
                <w:bCs/>
                <w:color w:val="FFFFFF" w:themeColor="background1"/>
                <w:sz w:val="20"/>
                <w:szCs w:val="20"/>
                <w:lang w:val="fr-FR" w:eastAsia="en-GB"/>
              </w:rPr>
            </w:pPr>
            <w:r w:rsidRPr="00EC6462">
              <w:rPr>
                <w:rFonts w:ascii="Kohinoor Devanagari" w:hAnsi="Kohinoor Devanagari" w:cs="Kohinoor Devanagari"/>
                <w:b/>
                <w:bCs/>
                <w:color w:val="FFFFFF" w:themeColor="background1"/>
                <w:sz w:val="20"/>
                <w:szCs w:val="20"/>
                <w:lang w:val="fr-FR" w:eastAsia="en-GB"/>
              </w:rPr>
              <w:t>Relevant Articles</w:t>
            </w:r>
          </w:p>
        </w:tc>
        <w:tc>
          <w:tcPr>
            <w:tcW w:w="0" w:type="auto"/>
            <w:shd w:val="clear" w:color="auto" w:fill="748A96"/>
            <w:hideMark/>
          </w:tcPr>
          <w:p w14:paraId="21AFE83D" w14:textId="77777777" w:rsidR="00B54431" w:rsidRPr="00EC6462" w:rsidRDefault="00B54431" w:rsidP="00C33FCF">
            <w:pPr>
              <w:spacing w:before="120" w:after="120"/>
              <w:jc w:val="both"/>
              <w:rPr>
                <w:rFonts w:ascii="Kohinoor Devanagari" w:hAnsi="Kohinoor Devanagari" w:cs="Kohinoor Devanagari"/>
                <w:b/>
                <w:bCs/>
                <w:color w:val="FFFFFF" w:themeColor="background1"/>
                <w:sz w:val="20"/>
                <w:szCs w:val="20"/>
                <w:lang w:val="fr-FR" w:eastAsia="en-GB"/>
              </w:rPr>
            </w:pPr>
            <w:r w:rsidRPr="00EC6462">
              <w:rPr>
                <w:rFonts w:ascii="Kohinoor Devanagari" w:hAnsi="Kohinoor Devanagari" w:cs="Kohinoor Devanagari"/>
                <w:b/>
                <w:bCs/>
                <w:color w:val="FFFFFF" w:themeColor="background1"/>
                <w:sz w:val="20"/>
                <w:szCs w:val="20"/>
                <w:lang w:val="fr-FR" w:eastAsia="en-GB"/>
              </w:rPr>
              <w:t>Key Provisions</w:t>
            </w:r>
          </w:p>
        </w:tc>
        <w:tc>
          <w:tcPr>
            <w:tcW w:w="0" w:type="auto"/>
            <w:shd w:val="clear" w:color="auto" w:fill="748A96"/>
            <w:hideMark/>
          </w:tcPr>
          <w:p w14:paraId="746D2913" w14:textId="77777777" w:rsidR="00B54431" w:rsidRPr="00EC6462" w:rsidRDefault="00B54431" w:rsidP="00C33FCF">
            <w:pPr>
              <w:spacing w:before="120" w:after="120"/>
              <w:jc w:val="both"/>
              <w:rPr>
                <w:rFonts w:ascii="Kohinoor Devanagari" w:hAnsi="Kohinoor Devanagari" w:cs="Kohinoor Devanagari"/>
                <w:b/>
                <w:bCs/>
                <w:color w:val="FFFFFF" w:themeColor="background1"/>
                <w:sz w:val="20"/>
                <w:szCs w:val="20"/>
                <w:lang w:eastAsia="en-GB"/>
              </w:rPr>
            </w:pPr>
            <w:r w:rsidRPr="00EC6462">
              <w:rPr>
                <w:rFonts w:ascii="Kohinoor Devanagari" w:hAnsi="Kohinoor Devanagari" w:cs="Kohinoor Devanagari"/>
                <w:b/>
                <w:bCs/>
                <w:color w:val="FFFFFF" w:themeColor="background1"/>
                <w:sz w:val="20"/>
                <w:szCs w:val="20"/>
                <w:lang w:eastAsia="en-GB"/>
              </w:rPr>
              <w:t>Implications for Systematic EI Data Disclosure</w:t>
            </w:r>
          </w:p>
        </w:tc>
      </w:tr>
      <w:tr w:rsidR="00B54431" w:rsidRPr="00877C7F" w14:paraId="1C1522A1" w14:textId="77777777" w:rsidTr="00B54431">
        <w:tc>
          <w:tcPr>
            <w:tcW w:w="0" w:type="auto"/>
            <w:hideMark/>
          </w:tcPr>
          <w:p w14:paraId="6022D914" w14:textId="77777777" w:rsidR="00B54431" w:rsidRPr="00877C7F" w:rsidRDefault="00B54431"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b/>
                <w:bCs/>
                <w:sz w:val="20"/>
                <w:szCs w:val="20"/>
                <w:lang w:eastAsia="en-GB"/>
              </w:rPr>
              <w:t>Right to Access Information</w:t>
            </w:r>
          </w:p>
        </w:tc>
        <w:tc>
          <w:tcPr>
            <w:tcW w:w="0" w:type="auto"/>
            <w:hideMark/>
          </w:tcPr>
          <w:p w14:paraId="33EEAB55" w14:textId="77777777" w:rsidR="00B54431" w:rsidRPr="00877C7F" w:rsidRDefault="00B54431"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Article 4</w:t>
            </w:r>
          </w:p>
        </w:tc>
        <w:tc>
          <w:tcPr>
            <w:tcW w:w="0" w:type="auto"/>
            <w:hideMark/>
          </w:tcPr>
          <w:p w14:paraId="662FB843" w14:textId="77777777" w:rsidR="00B54431" w:rsidRPr="00877C7F" w:rsidRDefault="00B54431" w:rsidP="00EC6462">
            <w:pPr>
              <w:spacing w:before="120" w:after="120"/>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Provides the right to access information to Iraqi citizens and residents with legitimate interest, subject to reciprocity.</w:t>
            </w:r>
          </w:p>
        </w:tc>
        <w:tc>
          <w:tcPr>
            <w:tcW w:w="0" w:type="auto"/>
            <w:hideMark/>
          </w:tcPr>
          <w:p w14:paraId="4FBCE11E" w14:textId="77777777" w:rsidR="00B54431" w:rsidRPr="00877C7F" w:rsidRDefault="00B54431" w:rsidP="00EC6462">
            <w:pPr>
              <w:spacing w:before="120" w:after="120"/>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Restricts systematic disclosure to domestic stakeholders, limiting broader accessibility.</w:t>
            </w:r>
          </w:p>
        </w:tc>
      </w:tr>
      <w:tr w:rsidR="00B54431" w:rsidRPr="00877C7F" w14:paraId="2F4C1EA6" w14:textId="77777777" w:rsidTr="00B54431">
        <w:tc>
          <w:tcPr>
            <w:tcW w:w="0" w:type="auto"/>
            <w:hideMark/>
          </w:tcPr>
          <w:p w14:paraId="71DE2F16" w14:textId="77777777" w:rsidR="00B54431" w:rsidRPr="00877C7F" w:rsidRDefault="00B54431"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b/>
                <w:bCs/>
                <w:sz w:val="20"/>
                <w:szCs w:val="20"/>
                <w:lang w:eastAsia="en-GB"/>
              </w:rPr>
              <w:t>Obligation to Publish Data</w:t>
            </w:r>
          </w:p>
        </w:tc>
        <w:tc>
          <w:tcPr>
            <w:tcW w:w="0" w:type="auto"/>
            <w:hideMark/>
          </w:tcPr>
          <w:p w14:paraId="73C14C76" w14:textId="77777777" w:rsidR="00B54431" w:rsidRPr="00877C7F" w:rsidRDefault="00B54431"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Article 13</w:t>
            </w:r>
          </w:p>
        </w:tc>
        <w:tc>
          <w:tcPr>
            <w:tcW w:w="0" w:type="auto"/>
            <w:hideMark/>
          </w:tcPr>
          <w:p w14:paraId="599F333E" w14:textId="77777777" w:rsidR="00B54431" w:rsidRPr="00877C7F" w:rsidRDefault="00B54431" w:rsidP="00EC6462">
            <w:pPr>
              <w:spacing w:before="120" w:after="120"/>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Public bodies must proactively disclose organizational structures, policies, projects, and other operational data.</w:t>
            </w:r>
          </w:p>
        </w:tc>
        <w:tc>
          <w:tcPr>
            <w:tcW w:w="0" w:type="auto"/>
            <w:hideMark/>
          </w:tcPr>
          <w:p w14:paraId="4B7DAC69" w14:textId="77777777" w:rsidR="00B54431" w:rsidRPr="00877C7F" w:rsidRDefault="00B54431" w:rsidP="00EC6462">
            <w:pPr>
              <w:spacing w:before="120" w:after="120"/>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Lacks explicit mention of extractive industry-specific data such as contracts and revenues, limiting systematic disclosure.</w:t>
            </w:r>
          </w:p>
        </w:tc>
      </w:tr>
      <w:tr w:rsidR="00B54431" w:rsidRPr="00877C7F" w14:paraId="04C7D67F" w14:textId="77777777" w:rsidTr="00B54431">
        <w:tc>
          <w:tcPr>
            <w:tcW w:w="0" w:type="auto"/>
            <w:hideMark/>
          </w:tcPr>
          <w:p w14:paraId="16408C5E" w14:textId="77777777" w:rsidR="00B54431" w:rsidRPr="00877C7F" w:rsidRDefault="00B54431"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b/>
                <w:bCs/>
                <w:sz w:val="20"/>
                <w:szCs w:val="20"/>
                <w:lang w:eastAsia="en-GB"/>
              </w:rPr>
              <w:t>Processing of Requests</w:t>
            </w:r>
          </w:p>
        </w:tc>
        <w:tc>
          <w:tcPr>
            <w:tcW w:w="0" w:type="auto"/>
            <w:hideMark/>
          </w:tcPr>
          <w:p w14:paraId="45559F41" w14:textId="77777777" w:rsidR="00B54431" w:rsidRPr="00877C7F" w:rsidRDefault="00B54431"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Articles 8, 9</w:t>
            </w:r>
          </w:p>
        </w:tc>
        <w:tc>
          <w:tcPr>
            <w:tcW w:w="0" w:type="auto"/>
            <w:hideMark/>
          </w:tcPr>
          <w:p w14:paraId="00CB67CB" w14:textId="77777777" w:rsidR="00B54431" w:rsidRPr="00877C7F" w:rsidRDefault="00B54431" w:rsidP="00EC6462">
            <w:pPr>
              <w:spacing w:before="120" w:after="120"/>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Requests must be processed within 5 days; extensions up to 15 days allowed under specific circumstances.</w:t>
            </w:r>
          </w:p>
        </w:tc>
        <w:tc>
          <w:tcPr>
            <w:tcW w:w="0" w:type="auto"/>
            <w:hideMark/>
          </w:tcPr>
          <w:p w14:paraId="16598ECC" w14:textId="77777777" w:rsidR="00B54431" w:rsidRPr="00877C7F" w:rsidRDefault="00B54431" w:rsidP="00EC6462">
            <w:pPr>
              <w:spacing w:before="120" w:after="120"/>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Potential administrative delays may hinder timely and systematic disclosure of EI data.</w:t>
            </w:r>
          </w:p>
        </w:tc>
      </w:tr>
      <w:tr w:rsidR="00B54431" w:rsidRPr="00877C7F" w14:paraId="25990086" w14:textId="77777777" w:rsidTr="00B54431">
        <w:tc>
          <w:tcPr>
            <w:tcW w:w="0" w:type="auto"/>
            <w:hideMark/>
          </w:tcPr>
          <w:p w14:paraId="017C6F77" w14:textId="77777777" w:rsidR="00B54431" w:rsidRPr="00877C7F" w:rsidRDefault="00B54431"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b/>
                <w:bCs/>
                <w:sz w:val="20"/>
                <w:szCs w:val="20"/>
                <w:lang w:eastAsia="en-GB"/>
              </w:rPr>
              <w:t>Appeals Against Refusals</w:t>
            </w:r>
          </w:p>
        </w:tc>
        <w:tc>
          <w:tcPr>
            <w:tcW w:w="0" w:type="auto"/>
            <w:hideMark/>
          </w:tcPr>
          <w:p w14:paraId="1DCCCF3C" w14:textId="77777777" w:rsidR="00B54431" w:rsidRPr="00877C7F" w:rsidRDefault="00B54431"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Article 14</w:t>
            </w:r>
          </w:p>
        </w:tc>
        <w:tc>
          <w:tcPr>
            <w:tcW w:w="0" w:type="auto"/>
            <w:hideMark/>
          </w:tcPr>
          <w:p w14:paraId="5536E5F5" w14:textId="77777777" w:rsidR="00B54431" w:rsidRPr="00877C7F" w:rsidRDefault="00B54431" w:rsidP="00EC6462">
            <w:pPr>
              <w:spacing w:before="120" w:after="120"/>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Establishes an appeal process through internal committees and judiciary within specified timeframes.</w:t>
            </w:r>
          </w:p>
        </w:tc>
        <w:tc>
          <w:tcPr>
            <w:tcW w:w="0" w:type="auto"/>
            <w:hideMark/>
          </w:tcPr>
          <w:p w14:paraId="3620DBB2" w14:textId="77777777" w:rsidR="00B54431" w:rsidRPr="00877C7F" w:rsidRDefault="00B54431" w:rsidP="00EC6462">
            <w:pPr>
              <w:spacing w:before="120" w:after="120"/>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Provides a mechanism to challenge non-disclosure but may not ensure timely publication of EI data.</w:t>
            </w:r>
          </w:p>
        </w:tc>
      </w:tr>
      <w:tr w:rsidR="00B54431" w:rsidRPr="00877C7F" w14:paraId="34FAD585" w14:textId="77777777" w:rsidTr="00B54431">
        <w:tc>
          <w:tcPr>
            <w:tcW w:w="0" w:type="auto"/>
            <w:hideMark/>
          </w:tcPr>
          <w:p w14:paraId="79B5EBBE" w14:textId="77777777" w:rsidR="00B54431" w:rsidRPr="00877C7F" w:rsidRDefault="00B54431"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b/>
                <w:bCs/>
                <w:sz w:val="20"/>
                <w:szCs w:val="20"/>
                <w:lang w:eastAsia="en-GB"/>
              </w:rPr>
              <w:t>Sanctions for Non-Disclosure</w:t>
            </w:r>
          </w:p>
        </w:tc>
        <w:tc>
          <w:tcPr>
            <w:tcW w:w="0" w:type="auto"/>
            <w:hideMark/>
          </w:tcPr>
          <w:p w14:paraId="5321DAC6" w14:textId="77777777" w:rsidR="00B54431" w:rsidRPr="00877C7F" w:rsidRDefault="00B54431"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Article 16</w:t>
            </w:r>
          </w:p>
        </w:tc>
        <w:tc>
          <w:tcPr>
            <w:tcW w:w="0" w:type="auto"/>
            <w:hideMark/>
          </w:tcPr>
          <w:p w14:paraId="54D2B66B" w14:textId="77777777" w:rsidR="00B54431" w:rsidRPr="00877C7F" w:rsidRDefault="00B54431" w:rsidP="00EC6462">
            <w:pPr>
              <w:spacing w:before="120" w:after="120"/>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Imposes penalties for unauthorized disclosure, withholding, or destruction of information.</w:t>
            </w:r>
          </w:p>
        </w:tc>
        <w:tc>
          <w:tcPr>
            <w:tcW w:w="0" w:type="auto"/>
            <w:hideMark/>
          </w:tcPr>
          <w:p w14:paraId="32AD1491" w14:textId="77777777" w:rsidR="00B54431" w:rsidRPr="00877C7F" w:rsidRDefault="00B54431" w:rsidP="00EC6462">
            <w:pPr>
              <w:spacing w:before="120" w:after="120"/>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Encourages compliance but does not mandate proactive disclosure of EI data.</w:t>
            </w:r>
          </w:p>
        </w:tc>
      </w:tr>
      <w:tr w:rsidR="00B54431" w:rsidRPr="00877C7F" w14:paraId="7E54E306" w14:textId="77777777" w:rsidTr="00B54431">
        <w:tc>
          <w:tcPr>
            <w:tcW w:w="0" w:type="auto"/>
            <w:hideMark/>
          </w:tcPr>
          <w:p w14:paraId="15DE16CD" w14:textId="77777777" w:rsidR="00B54431" w:rsidRPr="00877C7F" w:rsidRDefault="00B54431"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b/>
                <w:bCs/>
                <w:sz w:val="20"/>
                <w:szCs w:val="20"/>
                <w:lang w:eastAsia="en-GB"/>
              </w:rPr>
              <w:t>Proactive Disclosure Mandate</w:t>
            </w:r>
          </w:p>
        </w:tc>
        <w:tc>
          <w:tcPr>
            <w:tcW w:w="0" w:type="auto"/>
            <w:hideMark/>
          </w:tcPr>
          <w:p w14:paraId="041D74E4" w14:textId="77777777" w:rsidR="00B54431" w:rsidRPr="00877C7F" w:rsidRDefault="00B54431"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Articles 3, 13</w:t>
            </w:r>
          </w:p>
        </w:tc>
        <w:tc>
          <w:tcPr>
            <w:tcW w:w="0" w:type="auto"/>
            <w:hideMark/>
          </w:tcPr>
          <w:p w14:paraId="791A0E10" w14:textId="77777777" w:rsidR="00B54431" w:rsidRPr="00877C7F" w:rsidRDefault="00B54431" w:rsidP="00EC6462">
            <w:pPr>
              <w:spacing w:before="120" w:after="120"/>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Public bodies are required to proactively release selected categories of data through official channels.</w:t>
            </w:r>
          </w:p>
        </w:tc>
        <w:tc>
          <w:tcPr>
            <w:tcW w:w="0" w:type="auto"/>
            <w:hideMark/>
          </w:tcPr>
          <w:p w14:paraId="779A87B3" w14:textId="77777777" w:rsidR="00B54431" w:rsidRPr="00877C7F" w:rsidRDefault="00B54431" w:rsidP="00EC6462">
            <w:pPr>
              <w:spacing w:before="120" w:after="120"/>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The scope of disclosure focuses on administrative data and lacks critical EI financial and contractual information.</w:t>
            </w:r>
          </w:p>
        </w:tc>
      </w:tr>
      <w:tr w:rsidR="00B54431" w:rsidRPr="00877C7F" w14:paraId="4FB8E736" w14:textId="77777777" w:rsidTr="00B54431">
        <w:tc>
          <w:tcPr>
            <w:tcW w:w="0" w:type="auto"/>
            <w:hideMark/>
          </w:tcPr>
          <w:p w14:paraId="199646E8" w14:textId="77777777" w:rsidR="00B54431" w:rsidRPr="00877C7F" w:rsidRDefault="00B54431"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b/>
                <w:bCs/>
                <w:sz w:val="20"/>
                <w:szCs w:val="20"/>
                <w:lang w:eastAsia="en-GB"/>
              </w:rPr>
              <w:t>Definition of Public Bodies</w:t>
            </w:r>
          </w:p>
        </w:tc>
        <w:tc>
          <w:tcPr>
            <w:tcW w:w="0" w:type="auto"/>
            <w:hideMark/>
          </w:tcPr>
          <w:p w14:paraId="352AF126" w14:textId="77777777" w:rsidR="00B54431" w:rsidRPr="00877C7F" w:rsidRDefault="00B54431" w:rsidP="00C33FCF">
            <w:pPr>
              <w:spacing w:before="120" w:after="120"/>
              <w:jc w:val="both"/>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Article 1</w:t>
            </w:r>
          </w:p>
        </w:tc>
        <w:tc>
          <w:tcPr>
            <w:tcW w:w="0" w:type="auto"/>
            <w:hideMark/>
          </w:tcPr>
          <w:p w14:paraId="4B72017E" w14:textId="77777777" w:rsidR="00B54431" w:rsidRPr="00877C7F" w:rsidRDefault="00B54431" w:rsidP="00EC6462">
            <w:pPr>
              <w:spacing w:before="120" w:after="120"/>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Covers state departments, public and mixed sector entities, and private companies managing public facilities.</w:t>
            </w:r>
          </w:p>
        </w:tc>
        <w:tc>
          <w:tcPr>
            <w:tcW w:w="0" w:type="auto"/>
            <w:hideMark/>
          </w:tcPr>
          <w:p w14:paraId="6FB00B93" w14:textId="77777777" w:rsidR="00B54431" w:rsidRPr="00877C7F" w:rsidRDefault="00B54431" w:rsidP="00EC6462">
            <w:pPr>
              <w:spacing w:before="120" w:after="120"/>
              <w:rPr>
                <w:rFonts w:ascii="Kohinoor Devanagari" w:hAnsi="Kohinoor Devanagari" w:cs="Kohinoor Devanagari"/>
                <w:sz w:val="20"/>
                <w:szCs w:val="20"/>
                <w:lang w:eastAsia="en-GB"/>
              </w:rPr>
            </w:pPr>
            <w:r w:rsidRPr="00877C7F">
              <w:rPr>
                <w:rFonts w:ascii="Kohinoor Devanagari" w:hAnsi="Kohinoor Devanagari" w:cs="Kohinoor Devanagari"/>
                <w:sz w:val="20"/>
                <w:szCs w:val="20"/>
                <w:lang w:eastAsia="en-GB"/>
              </w:rPr>
              <w:t>Ensures a broad scope for systematic disclosure but requires specific mention of EI-related obligations.</w:t>
            </w:r>
          </w:p>
        </w:tc>
      </w:tr>
    </w:tbl>
    <w:p w14:paraId="6ADEA7BC" w14:textId="010D4582" w:rsidR="002436C8" w:rsidRPr="00A3573B" w:rsidRDefault="002436C8" w:rsidP="00FD2B68">
      <w:pPr>
        <w:pStyle w:val="ListParagraph"/>
        <w:numPr>
          <w:ilvl w:val="0"/>
          <w:numId w:val="9"/>
        </w:numPr>
        <w:spacing w:before="120" w:after="120" w:line="240" w:lineRule="auto"/>
        <w:jc w:val="both"/>
        <w:rPr>
          <w:rFonts w:ascii="Kohinoor Devanagari" w:hAnsi="Kohinoor Devanagari" w:cs="Kohinoor Devanagari"/>
          <w:b/>
          <w:bCs/>
          <w:i/>
          <w:iCs/>
          <w:sz w:val="22"/>
          <w:szCs w:val="22"/>
          <w:lang w:eastAsia="en-GB"/>
        </w:rPr>
      </w:pPr>
      <w:r w:rsidRPr="00A3573B">
        <w:rPr>
          <w:rFonts w:ascii="Kohinoor Devanagari" w:hAnsi="Kohinoor Devanagari" w:cs="Kohinoor Devanagari"/>
          <w:b/>
          <w:bCs/>
          <w:i/>
          <w:iCs/>
          <w:sz w:val="22"/>
          <w:szCs w:val="22"/>
          <w:lang w:eastAsia="en-GB"/>
        </w:rPr>
        <w:t xml:space="preserve">Challenges and Limitations </w:t>
      </w:r>
    </w:p>
    <w:p w14:paraId="3E52252C" w14:textId="0E0E580D" w:rsidR="001F4ED5" w:rsidRPr="00A3573B" w:rsidRDefault="00AF3A6F"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Despite its potential to enhance transparency, the Draft RTI Act presents several challenges and limitations that may hinder the systematic disclosure of extractive sector data:</w:t>
      </w:r>
    </w:p>
    <w:p w14:paraId="384D97AB" w14:textId="1E2405E9" w:rsidR="002436C8" w:rsidRPr="00A3573B" w:rsidRDefault="002436C8" w:rsidP="00FD2B68">
      <w:pPr>
        <w:numPr>
          <w:ilvl w:val="0"/>
          <w:numId w:val="10"/>
        </w:numPr>
        <w:spacing w:before="120" w:after="120" w:line="240" w:lineRule="auto"/>
        <w:ind w:left="714" w:hanging="357"/>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 xml:space="preserve">Legal Ambiguity: </w:t>
      </w:r>
      <w:r w:rsidRPr="00A3573B">
        <w:rPr>
          <w:rFonts w:ascii="Kohinoor Devanagari" w:hAnsi="Kohinoor Devanagari" w:cs="Kohinoor Devanagari"/>
          <w:sz w:val="22"/>
          <w:szCs w:val="22"/>
          <w:lang w:eastAsia="en-GB"/>
        </w:rPr>
        <w:t>The Act lacks clear provisions ensuring its supremacy over conflicting laws, potentially leading to inconsistent implementation across government entities.</w:t>
      </w:r>
    </w:p>
    <w:p w14:paraId="13C05BDB" w14:textId="01BDBAF8" w:rsidR="002436C8" w:rsidRPr="00A3573B" w:rsidRDefault="002436C8" w:rsidP="00FD2B68">
      <w:pPr>
        <w:numPr>
          <w:ilvl w:val="0"/>
          <w:numId w:val="10"/>
        </w:numPr>
        <w:spacing w:before="120" w:after="120" w:line="240" w:lineRule="auto"/>
        <w:ind w:left="714" w:hanging="357"/>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 xml:space="preserve">Overly Broad Exemptions: </w:t>
      </w:r>
      <w:r w:rsidRPr="00A3573B">
        <w:rPr>
          <w:rFonts w:ascii="Kohinoor Devanagari" w:hAnsi="Kohinoor Devanagari" w:cs="Kohinoor Devanagari"/>
          <w:sz w:val="22"/>
          <w:szCs w:val="22"/>
          <w:lang w:eastAsia="en-GB"/>
        </w:rPr>
        <w:t xml:space="preserve">Article 11 includes vague and expansive exemptions without </w:t>
      </w:r>
      <w:r w:rsidR="004F3FF8" w:rsidRPr="00A3573B">
        <w:rPr>
          <w:rFonts w:ascii="Kohinoor Devanagari" w:hAnsi="Kohinoor Devanagari" w:cs="Kohinoor Devanagari"/>
          <w:sz w:val="22"/>
          <w:szCs w:val="22"/>
          <w:lang w:eastAsia="en-GB"/>
        </w:rPr>
        <w:t>an override of public interest</w:t>
      </w:r>
      <w:r w:rsidRPr="00A3573B">
        <w:rPr>
          <w:rFonts w:ascii="Kohinoor Devanagari" w:hAnsi="Kohinoor Devanagari" w:cs="Kohinoor Devanagari"/>
          <w:sz w:val="22"/>
          <w:szCs w:val="22"/>
          <w:lang w:eastAsia="en-GB"/>
        </w:rPr>
        <w:t>, restricting access to crucial extractive sector data such as contracts and revenues.</w:t>
      </w:r>
    </w:p>
    <w:p w14:paraId="5590A724" w14:textId="36A6BDE1" w:rsidR="002436C8" w:rsidRPr="00A3573B" w:rsidRDefault="002436C8" w:rsidP="00FD2B68">
      <w:pPr>
        <w:numPr>
          <w:ilvl w:val="0"/>
          <w:numId w:val="10"/>
        </w:numPr>
        <w:spacing w:before="120" w:after="120" w:line="240" w:lineRule="auto"/>
        <w:ind w:left="714" w:hanging="357"/>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 xml:space="preserve">Limited Proactive Disclosure: </w:t>
      </w:r>
      <w:r w:rsidRPr="00A3573B">
        <w:rPr>
          <w:rFonts w:ascii="Kohinoor Devanagari" w:hAnsi="Kohinoor Devanagari" w:cs="Kohinoor Devanagari"/>
          <w:sz w:val="22"/>
          <w:szCs w:val="22"/>
          <w:lang w:eastAsia="en-GB"/>
        </w:rPr>
        <w:t>Article 13 focuses on administrative data and omits critical financial and operational extractive data, weakening systematic disclosure efforts.</w:t>
      </w:r>
    </w:p>
    <w:p w14:paraId="1EC35024" w14:textId="415A688E" w:rsidR="002436C8" w:rsidRPr="00A3573B" w:rsidRDefault="002436C8" w:rsidP="00FD2B68">
      <w:pPr>
        <w:numPr>
          <w:ilvl w:val="0"/>
          <w:numId w:val="10"/>
        </w:numPr>
        <w:spacing w:before="120" w:after="120" w:line="240" w:lineRule="auto"/>
        <w:ind w:left="714" w:hanging="357"/>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Inadequate Oversight:</w:t>
      </w:r>
      <w:r w:rsidR="00907B41" w:rsidRPr="00A3573B">
        <w:rPr>
          <w:rFonts w:ascii="Kohinoor Devanagari" w:hAnsi="Kohinoor Devanagari" w:cs="Kohinoor Devanagari"/>
          <w:b/>
          <w:bCs/>
          <w:sz w:val="22"/>
          <w:szCs w:val="22"/>
          <w:lang w:eastAsia="en-GB"/>
        </w:rPr>
        <w:t xml:space="preserve"> </w:t>
      </w:r>
      <w:r w:rsidRPr="00A3573B">
        <w:rPr>
          <w:rFonts w:ascii="Kohinoor Devanagari" w:hAnsi="Kohinoor Devanagari" w:cs="Kohinoor Devanagari"/>
          <w:sz w:val="22"/>
          <w:szCs w:val="22"/>
          <w:lang w:eastAsia="en-GB"/>
        </w:rPr>
        <w:t>The reliance on an internal appeals process in Article 14, without an independent oversight body, weakens impartial enforcement.</w:t>
      </w:r>
    </w:p>
    <w:p w14:paraId="7C3BD8BB" w14:textId="231D2934" w:rsidR="001F4ED5" w:rsidRPr="00A3573B" w:rsidRDefault="009416CA" w:rsidP="00FD2B68">
      <w:pPr>
        <w:pStyle w:val="Heading3"/>
        <w:numPr>
          <w:ilvl w:val="2"/>
          <w:numId w:val="74"/>
        </w:numPr>
        <w:spacing w:before="120" w:after="120" w:line="240" w:lineRule="auto"/>
        <w:ind w:left="567" w:hanging="567"/>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Iraqi National Oil Company (INOC) Law No. 4 of 2018</w:t>
      </w:r>
    </w:p>
    <w:p w14:paraId="2EE93A15" w14:textId="77777777" w:rsidR="00172D97" w:rsidRPr="00172D97" w:rsidRDefault="00172D97" w:rsidP="00172D97">
      <w:pPr>
        <w:spacing w:before="120" w:after="120" w:line="240" w:lineRule="auto"/>
        <w:jc w:val="both"/>
        <w:rPr>
          <w:rFonts w:ascii="Kohinoor Devanagari" w:hAnsi="Kohinoor Devanagari" w:cs="Kohinoor Devanagari"/>
          <w:sz w:val="22"/>
          <w:szCs w:val="22"/>
          <w:lang w:eastAsia="en-GB"/>
        </w:rPr>
      </w:pPr>
      <w:r w:rsidRPr="00172D97">
        <w:rPr>
          <w:rFonts w:ascii="Kohinoor Devanagari" w:hAnsi="Kohinoor Devanagari" w:cs="Kohinoor Devanagari"/>
          <w:sz w:val="22"/>
          <w:szCs w:val="22"/>
          <w:lang w:eastAsia="en-GB"/>
        </w:rPr>
        <w:t>The Iraqi National Oil Company (INOC) Law No. 4 of 2018 was established to create a legal and organizational framework for the management of Iraq's oil and gas resources through a state-owned enterprise. However, in September 2022, the Federal Supreme Court of Iraq invalidated the legal framework of INOC, leading to legal and institutional uncertainty. This section analyzes key provisions of the law and their implications for transparency, governance, and systematic disclosure of extractive sector data, considering the court’s ruling</w:t>
      </w:r>
    </w:p>
    <w:p w14:paraId="111ABBE8" w14:textId="25075CAD" w:rsidR="001A0E0A" w:rsidRPr="00A3573B" w:rsidRDefault="001A0E0A" w:rsidP="00FD2B68">
      <w:pPr>
        <w:pStyle w:val="ListParagraph"/>
        <w:numPr>
          <w:ilvl w:val="0"/>
          <w:numId w:val="7"/>
        </w:numPr>
        <w:spacing w:before="120" w:after="120" w:line="240" w:lineRule="auto"/>
        <w:jc w:val="both"/>
        <w:rPr>
          <w:rFonts w:ascii="Kohinoor Devanagari" w:hAnsi="Kohinoor Devanagari" w:cs="Kohinoor Devanagari"/>
          <w:b/>
          <w:bCs/>
          <w:i/>
          <w:iCs/>
          <w:sz w:val="22"/>
          <w:szCs w:val="22"/>
          <w:lang w:eastAsia="en-GB"/>
        </w:rPr>
      </w:pPr>
      <w:r w:rsidRPr="00A3573B">
        <w:rPr>
          <w:rFonts w:ascii="Kohinoor Devanagari" w:hAnsi="Kohinoor Devanagari" w:cs="Kohinoor Devanagari"/>
          <w:b/>
          <w:bCs/>
          <w:i/>
          <w:iCs/>
          <w:sz w:val="22"/>
          <w:szCs w:val="22"/>
          <w:lang w:eastAsia="en-GB"/>
        </w:rPr>
        <w:t>Key Data Disclosure provisions</w:t>
      </w:r>
    </w:p>
    <w:p w14:paraId="59E03D34" w14:textId="77777777" w:rsidR="001A0E0A" w:rsidRPr="00A3573B" w:rsidRDefault="001A0E0A" w:rsidP="00C33FCF">
      <w:pPr>
        <w:pStyle w:val="ListParagraph"/>
        <w:spacing w:before="120" w:after="120" w:line="240" w:lineRule="auto"/>
        <w:jc w:val="both"/>
        <w:rPr>
          <w:rFonts w:ascii="Kohinoor Devanagari" w:hAnsi="Kohinoor Devanagari" w:cs="Kohinoor Devanagari"/>
          <w:b/>
          <w:bCs/>
          <w:i/>
          <w:iCs/>
          <w:sz w:val="22"/>
          <w:szCs w:val="22"/>
          <w:lang w:eastAsia="en-GB"/>
        </w:rPr>
      </w:pPr>
    </w:p>
    <w:tbl>
      <w:tblPr>
        <w:tblStyle w:val="TableGrid"/>
        <w:tblW w:w="0" w:type="auto"/>
        <w:tblBorders>
          <w:top w:val="single" w:sz="6" w:space="0" w:color="61BC4D"/>
          <w:left w:val="single" w:sz="6" w:space="0" w:color="61BC4D"/>
          <w:bottom w:val="single" w:sz="6" w:space="0" w:color="61BC4D"/>
          <w:right w:val="single" w:sz="6" w:space="0" w:color="61BC4D"/>
          <w:insideH w:val="single" w:sz="6" w:space="0" w:color="61BC4D"/>
          <w:insideV w:val="single" w:sz="6" w:space="0" w:color="61BC4D"/>
        </w:tblBorders>
        <w:tblLook w:val="04A0" w:firstRow="1" w:lastRow="0" w:firstColumn="1" w:lastColumn="0" w:noHBand="0" w:noVBand="1"/>
      </w:tblPr>
      <w:tblGrid>
        <w:gridCol w:w="1893"/>
        <w:gridCol w:w="1164"/>
        <w:gridCol w:w="3624"/>
        <w:gridCol w:w="2651"/>
      </w:tblGrid>
      <w:tr w:rsidR="001A0E0A" w:rsidRPr="00EC6462" w14:paraId="04DAAFDA" w14:textId="77777777" w:rsidTr="007B0A7C">
        <w:trPr>
          <w:tblHeader/>
        </w:trPr>
        <w:tc>
          <w:tcPr>
            <w:tcW w:w="0" w:type="auto"/>
            <w:shd w:val="clear" w:color="auto" w:fill="748A96"/>
            <w:hideMark/>
          </w:tcPr>
          <w:p w14:paraId="0CD051FB" w14:textId="77777777" w:rsidR="001A0E0A" w:rsidRPr="00EC6462" w:rsidRDefault="001A0E0A" w:rsidP="00C33FCF">
            <w:pPr>
              <w:spacing w:before="120" w:after="120"/>
              <w:jc w:val="both"/>
              <w:rPr>
                <w:rFonts w:ascii="Kohinoor Devanagari" w:hAnsi="Kohinoor Devanagari" w:cs="Kohinoor Devanagari"/>
                <w:b/>
                <w:bCs/>
                <w:color w:val="FFFFFF" w:themeColor="background1"/>
                <w:sz w:val="20"/>
                <w:szCs w:val="20"/>
                <w:lang w:val="fr-FR" w:eastAsia="en-GB"/>
              </w:rPr>
            </w:pPr>
            <w:r w:rsidRPr="00EC6462">
              <w:rPr>
                <w:rFonts w:ascii="Kohinoor Devanagari" w:hAnsi="Kohinoor Devanagari" w:cs="Kohinoor Devanagari"/>
                <w:b/>
                <w:bCs/>
                <w:color w:val="FFFFFF" w:themeColor="background1"/>
                <w:sz w:val="20"/>
                <w:szCs w:val="20"/>
                <w:lang w:val="fr-FR" w:eastAsia="en-GB"/>
              </w:rPr>
              <w:t>Provision Area</w:t>
            </w:r>
          </w:p>
        </w:tc>
        <w:tc>
          <w:tcPr>
            <w:tcW w:w="0" w:type="auto"/>
            <w:shd w:val="clear" w:color="auto" w:fill="748A96"/>
            <w:hideMark/>
          </w:tcPr>
          <w:p w14:paraId="2EE5CC6C" w14:textId="77777777" w:rsidR="001A0E0A" w:rsidRPr="00EC6462" w:rsidRDefault="001A0E0A" w:rsidP="00C33FCF">
            <w:pPr>
              <w:spacing w:before="120" w:after="120"/>
              <w:jc w:val="both"/>
              <w:rPr>
                <w:rFonts w:ascii="Kohinoor Devanagari" w:hAnsi="Kohinoor Devanagari" w:cs="Kohinoor Devanagari"/>
                <w:b/>
                <w:bCs/>
                <w:color w:val="FFFFFF" w:themeColor="background1"/>
                <w:sz w:val="20"/>
                <w:szCs w:val="20"/>
                <w:lang w:val="fr-FR" w:eastAsia="en-GB"/>
              </w:rPr>
            </w:pPr>
            <w:r w:rsidRPr="00EC6462">
              <w:rPr>
                <w:rFonts w:ascii="Kohinoor Devanagari" w:hAnsi="Kohinoor Devanagari" w:cs="Kohinoor Devanagari"/>
                <w:b/>
                <w:bCs/>
                <w:color w:val="FFFFFF" w:themeColor="background1"/>
                <w:sz w:val="20"/>
                <w:szCs w:val="20"/>
                <w:lang w:val="fr-FR" w:eastAsia="en-GB"/>
              </w:rPr>
              <w:t>Relevant Articles</w:t>
            </w:r>
          </w:p>
        </w:tc>
        <w:tc>
          <w:tcPr>
            <w:tcW w:w="0" w:type="auto"/>
            <w:shd w:val="clear" w:color="auto" w:fill="748A96"/>
            <w:hideMark/>
          </w:tcPr>
          <w:p w14:paraId="40E01497" w14:textId="77777777" w:rsidR="001A0E0A" w:rsidRPr="00EC6462" w:rsidRDefault="001A0E0A" w:rsidP="00C33FCF">
            <w:pPr>
              <w:spacing w:before="120" w:after="120"/>
              <w:jc w:val="both"/>
              <w:rPr>
                <w:rFonts w:ascii="Kohinoor Devanagari" w:hAnsi="Kohinoor Devanagari" w:cs="Kohinoor Devanagari"/>
                <w:b/>
                <w:bCs/>
                <w:color w:val="FFFFFF" w:themeColor="background1"/>
                <w:sz w:val="20"/>
                <w:szCs w:val="20"/>
                <w:lang w:val="fr-FR" w:eastAsia="en-GB"/>
              </w:rPr>
            </w:pPr>
            <w:r w:rsidRPr="00EC6462">
              <w:rPr>
                <w:rFonts w:ascii="Kohinoor Devanagari" w:hAnsi="Kohinoor Devanagari" w:cs="Kohinoor Devanagari"/>
                <w:b/>
                <w:bCs/>
                <w:color w:val="FFFFFF" w:themeColor="background1"/>
                <w:sz w:val="20"/>
                <w:szCs w:val="20"/>
                <w:lang w:val="fr-FR" w:eastAsia="en-GB"/>
              </w:rPr>
              <w:t>Key Provisions</w:t>
            </w:r>
          </w:p>
        </w:tc>
        <w:tc>
          <w:tcPr>
            <w:tcW w:w="0" w:type="auto"/>
            <w:shd w:val="clear" w:color="auto" w:fill="748A96"/>
            <w:hideMark/>
          </w:tcPr>
          <w:p w14:paraId="6F82B806" w14:textId="0B71BB1E" w:rsidR="001A0E0A" w:rsidRPr="00EC6462" w:rsidRDefault="001A0E0A" w:rsidP="00C33FCF">
            <w:pPr>
              <w:spacing w:before="120" w:after="120"/>
              <w:jc w:val="both"/>
              <w:rPr>
                <w:rFonts w:ascii="Kohinoor Devanagari" w:hAnsi="Kohinoor Devanagari" w:cs="Kohinoor Devanagari"/>
                <w:b/>
                <w:bCs/>
                <w:color w:val="FFFFFF" w:themeColor="background1"/>
                <w:sz w:val="20"/>
                <w:szCs w:val="20"/>
                <w:lang w:eastAsia="en-GB"/>
              </w:rPr>
            </w:pPr>
            <w:r w:rsidRPr="00EC6462">
              <w:rPr>
                <w:rFonts w:ascii="Kohinoor Devanagari" w:hAnsi="Kohinoor Devanagari" w:cs="Kohinoor Devanagari"/>
                <w:b/>
                <w:bCs/>
                <w:color w:val="FFFFFF" w:themeColor="background1"/>
                <w:sz w:val="20"/>
                <w:szCs w:val="20"/>
                <w:lang w:eastAsia="en-GB"/>
              </w:rPr>
              <w:t>Implications for EI Data Disclosure</w:t>
            </w:r>
          </w:p>
        </w:tc>
      </w:tr>
      <w:tr w:rsidR="002E2182" w:rsidRPr="00EC6462" w14:paraId="716C513F" w14:textId="77777777" w:rsidTr="001A0E0A">
        <w:tc>
          <w:tcPr>
            <w:tcW w:w="0" w:type="auto"/>
            <w:hideMark/>
          </w:tcPr>
          <w:p w14:paraId="5498E070" w14:textId="77777777" w:rsidR="001A0E0A" w:rsidRPr="00EC6462" w:rsidRDefault="001A0E0A" w:rsidP="00C33FCF">
            <w:pPr>
              <w:spacing w:before="120" w:after="120"/>
              <w:jc w:val="both"/>
              <w:rPr>
                <w:rFonts w:ascii="Kohinoor Devanagari" w:hAnsi="Kohinoor Devanagari" w:cs="Kohinoor Devanagari"/>
                <w:sz w:val="20"/>
                <w:szCs w:val="20"/>
                <w:lang w:val="fr-FR" w:eastAsia="en-GB"/>
              </w:rPr>
            </w:pPr>
            <w:r w:rsidRPr="00EC6462">
              <w:rPr>
                <w:rFonts w:ascii="Kohinoor Devanagari" w:hAnsi="Kohinoor Devanagari" w:cs="Kohinoor Devanagari"/>
                <w:b/>
                <w:bCs/>
                <w:sz w:val="20"/>
                <w:szCs w:val="20"/>
                <w:lang w:val="fr-FR" w:eastAsia="en-GB"/>
              </w:rPr>
              <w:t>Establishment and Objectives</w:t>
            </w:r>
          </w:p>
        </w:tc>
        <w:tc>
          <w:tcPr>
            <w:tcW w:w="0" w:type="auto"/>
            <w:hideMark/>
          </w:tcPr>
          <w:p w14:paraId="07E702E8" w14:textId="77777777" w:rsidR="001A0E0A" w:rsidRPr="00EC6462" w:rsidRDefault="001A0E0A" w:rsidP="00C33FCF">
            <w:pPr>
              <w:spacing w:before="120" w:after="120"/>
              <w:jc w:val="both"/>
              <w:rPr>
                <w:rFonts w:ascii="Kohinoor Devanagari" w:hAnsi="Kohinoor Devanagari" w:cs="Kohinoor Devanagari"/>
                <w:sz w:val="20"/>
                <w:szCs w:val="20"/>
                <w:lang w:val="fr-FR" w:eastAsia="en-GB"/>
              </w:rPr>
            </w:pPr>
            <w:r w:rsidRPr="00EC6462">
              <w:rPr>
                <w:rFonts w:ascii="Kohinoor Devanagari" w:hAnsi="Kohinoor Devanagari" w:cs="Kohinoor Devanagari"/>
                <w:sz w:val="20"/>
                <w:szCs w:val="20"/>
                <w:lang w:val="fr-FR" w:eastAsia="en-GB"/>
              </w:rPr>
              <w:t>Articles 2, 3</w:t>
            </w:r>
          </w:p>
        </w:tc>
        <w:tc>
          <w:tcPr>
            <w:tcW w:w="0" w:type="auto"/>
            <w:hideMark/>
          </w:tcPr>
          <w:p w14:paraId="44672611" w14:textId="77777777" w:rsidR="001A0E0A" w:rsidRPr="00EC6462" w:rsidRDefault="001A0E0A" w:rsidP="004F0B6E">
            <w:pPr>
              <w:spacing w:before="120" w:after="12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Establishes INOC as a state-owned entity responsible for exploration, development, and marketing of oil and gas.</w:t>
            </w:r>
          </w:p>
        </w:tc>
        <w:tc>
          <w:tcPr>
            <w:tcW w:w="0" w:type="auto"/>
            <w:hideMark/>
          </w:tcPr>
          <w:p w14:paraId="442C4553" w14:textId="77777777" w:rsidR="001A0E0A" w:rsidRPr="00EC6462" w:rsidRDefault="001A0E0A" w:rsidP="004F0B6E">
            <w:pPr>
              <w:spacing w:before="120" w:after="12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Defines the role of INOC in managing national resources but lacks explicit data disclosure obligations.</w:t>
            </w:r>
          </w:p>
        </w:tc>
      </w:tr>
      <w:tr w:rsidR="002E2182" w:rsidRPr="00EC6462" w14:paraId="0434C065" w14:textId="77777777" w:rsidTr="001A0E0A">
        <w:tc>
          <w:tcPr>
            <w:tcW w:w="0" w:type="auto"/>
            <w:hideMark/>
          </w:tcPr>
          <w:p w14:paraId="6375E4C1" w14:textId="77777777" w:rsidR="001A0E0A" w:rsidRPr="00EC6462" w:rsidRDefault="001A0E0A" w:rsidP="00C33FCF">
            <w:pPr>
              <w:spacing w:before="120" w:after="120"/>
              <w:jc w:val="both"/>
              <w:rPr>
                <w:rFonts w:ascii="Kohinoor Devanagari" w:hAnsi="Kohinoor Devanagari" w:cs="Kohinoor Devanagari"/>
                <w:sz w:val="20"/>
                <w:szCs w:val="20"/>
                <w:lang w:val="fr-FR" w:eastAsia="en-GB"/>
              </w:rPr>
            </w:pPr>
            <w:r w:rsidRPr="00EC6462">
              <w:rPr>
                <w:rFonts w:ascii="Kohinoor Devanagari" w:hAnsi="Kohinoor Devanagari" w:cs="Kohinoor Devanagari"/>
                <w:b/>
                <w:bCs/>
                <w:sz w:val="20"/>
                <w:szCs w:val="20"/>
                <w:lang w:val="fr-FR" w:eastAsia="en-GB"/>
              </w:rPr>
              <w:t>Proactive Disclosure Mandate</w:t>
            </w:r>
          </w:p>
        </w:tc>
        <w:tc>
          <w:tcPr>
            <w:tcW w:w="0" w:type="auto"/>
            <w:hideMark/>
          </w:tcPr>
          <w:p w14:paraId="3CD5BE85" w14:textId="77777777" w:rsidR="001A0E0A" w:rsidRPr="00EC6462" w:rsidRDefault="001A0E0A" w:rsidP="00C33FCF">
            <w:pPr>
              <w:spacing w:before="120" w:after="120"/>
              <w:jc w:val="both"/>
              <w:rPr>
                <w:rFonts w:ascii="Kohinoor Devanagari" w:hAnsi="Kohinoor Devanagari" w:cs="Kohinoor Devanagari"/>
                <w:sz w:val="20"/>
                <w:szCs w:val="20"/>
                <w:lang w:val="fr-FR" w:eastAsia="en-GB"/>
              </w:rPr>
            </w:pPr>
            <w:r w:rsidRPr="00EC6462">
              <w:rPr>
                <w:rFonts w:ascii="Kohinoor Devanagari" w:hAnsi="Kohinoor Devanagari" w:cs="Kohinoor Devanagari"/>
                <w:sz w:val="20"/>
                <w:szCs w:val="20"/>
                <w:lang w:val="fr-FR" w:eastAsia="en-GB"/>
              </w:rPr>
              <w:t>Article 9 (4)</w:t>
            </w:r>
          </w:p>
        </w:tc>
        <w:tc>
          <w:tcPr>
            <w:tcW w:w="0" w:type="auto"/>
            <w:hideMark/>
          </w:tcPr>
          <w:p w14:paraId="6EFAB833" w14:textId="0F0C662C" w:rsidR="001A0E0A" w:rsidRPr="00EC6462" w:rsidRDefault="00BD1CC5" w:rsidP="004F0B6E">
            <w:pPr>
              <w:spacing w:before="120" w:after="12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xml:space="preserve">Requires INOC to submit periodic (monthly, quarterly, annual) reports on its operations and those of its </w:t>
            </w:r>
            <w:r w:rsidR="00CF78E2" w:rsidRPr="00EC6462">
              <w:rPr>
                <w:rFonts w:ascii="Kohinoor Devanagari" w:hAnsi="Kohinoor Devanagari" w:cs="Kohinoor Devanagari"/>
                <w:sz w:val="20"/>
                <w:szCs w:val="20"/>
                <w:lang w:eastAsia="en-GB"/>
              </w:rPr>
              <w:t>subsidiaries and</w:t>
            </w:r>
            <w:r w:rsidRPr="00EC6462">
              <w:rPr>
                <w:rFonts w:ascii="Kohinoor Devanagari" w:hAnsi="Kohinoor Devanagari" w:cs="Kohinoor Devanagari"/>
                <w:sz w:val="20"/>
                <w:szCs w:val="20"/>
                <w:lang w:eastAsia="en-GB"/>
              </w:rPr>
              <w:t xml:space="preserve"> publish them on their respective websites.</w:t>
            </w:r>
          </w:p>
        </w:tc>
        <w:tc>
          <w:tcPr>
            <w:tcW w:w="0" w:type="auto"/>
            <w:hideMark/>
          </w:tcPr>
          <w:p w14:paraId="23796C19" w14:textId="79C9CF00" w:rsidR="001A0E0A" w:rsidRPr="00EC6462" w:rsidRDefault="00100A65" w:rsidP="004F0B6E">
            <w:pPr>
              <w:spacing w:before="120" w:after="12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xml:space="preserve">Ensures regular </w:t>
            </w:r>
            <w:r w:rsidR="00CF78E2" w:rsidRPr="00EC6462">
              <w:rPr>
                <w:rFonts w:ascii="Kohinoor Devanagari" w:hAnsi="Kohinoor Devanagari" w:cs="Kohinoor Devanagari"/>
                <w:sz w:val="20"/>
                <w:szCs w:val="20"/>
                <w:lang w:eastAsia="en-GB"/>
              </w:rPr>
              <w:t>reporting but</w:t>
            </w:r>
            <w:r w:rsidRPr="00EC6462">
              <w:rPr>
                <w:rFonts w:ascii="Kohinoor Devanagari" w:hAnsi="Kohinoor Devanagari" w:cs="Kohinoor Devanagari"/>
                <w:sz w:val="20"/>
                <w:szCs w:val="20"/>
                <w:lang w:eastAsia="en-GB"/>
              </w:rPr>
              <w:t xml:space="preserve"> lacks clarity on the scope and content of the disclosed information.</w:t>
            </w:r>
          </w:p>
        </w:tc>
      </w:tr>
      <w:tr w:rsidR="002E2182" w:rsidRPr="00EC6462" w14:paraId="23DD3104" w14:textId="77777777" w:rsidTr="001A0E0A">
        <w:tc>
          <w:tcPr>
            <w:tcW w:w="0" w:type="auto"/>
            <w:hideMark/>
          </w:tcPr>
          <w:p w14:paraId="76C596D7" w14:textId="77777777" w:rsidR="001A0E0A" w:rsidRPr="00EC6462" w:rsidRDefault="001A0E0A" w:rsidP="00C33FCF">
            <w:pPr>
              <w:spacing w:before="120" w:after="120"/>
              <w:jc w:val="both"/>
              <w:rPr>
                <w:rFonts w:ascii="Kohinoor Devanagari" w:hAnsi="Kohinoor Devanagari" w:cs="Kohinoor Devanagari"/>
                <w:sz w:val="20"/>
                <w:szCs w:val="20"/>
                <w:lang w:val="fr-FR" w:eastAsia="en-GB"/>
              </w:rPr>
            </w:pPr>
            <w:r w:rsidRPr="00EC6462">
              <w:rPr>
                <w:rFonts w:ascii="Kohinoor Devanagari" w:hAnsi="Kohinoor Devanagari" w:cs="Kohinoor Devanagari"/>
                <w:b/>
                <w:bCs/>
                <w:sz w:val="20"/>
                <w:szCs w:val="20"/>
                <w:lang w:val="fr-FR" w:eastAsia="en-GB"/>
              </w:rPr>
              <w:t>Financial Management</w:t>
            </w:r>
          </w:p>
        </w:tc>
        <w:tc>
          <w:tcPr>
            <w:tcW w:w="0" w:type="auto"/>
            <w:hideMark/>
          </w:tcPr>
          <w:p w14:paraId="1538A022" w14:textId="77777777" w:rsidR="001A0E0A" w:rsidRPr="00EC6462" w:rsidRDefault="001A0E0A" w:rsidP="00C33FCF">
            <w:pPr>
              <w:spacing w:before="120" w:after="120"/>
              <w:jc w:val="both"/>
              <w:rPr>
                <w:rFonts w:ascii="Kohinoor Devanagari" w:hAnsi="Kohinoor Devanagari" w:cs="Kohinoor Devanagari"/>
                <w:sz w:val="20"/>
                <w:szCs w:val="20"/>
                <w:lang w:val="fr-FR" w:eastAsia="en-GB"/>
              </w:rPr>
            </w:pPr>
            <w:r w:rsidRPr="00EC6462">
              <w:rPr>
                <w:rFonts w:ascii="Kohinoor Devanagari" w:hAnsi="Kohinoor Devanagari" w:cs="Kohinoor Devanagari"/>
                <w:sz w:val="20"/>
                <w:szCs w:val="20"/>
                <w:lang w:val="fr-FR" w:eastAsia="en-GB"/>
              </w:rPr>
              <w:t>Articles 5, 11, 12</w:t>
            </w:r>
          </w:p>
        </w:tc>
        <w:tc>
          <w:tcPr>
            <w:tcW w:w="0" w:type="auto"/>
            <w:hideMark/>
          </w:tcPr>
          <w:p w14:paraId="3863ECBA" w14:textId="031A351E" w:rsidR="001A0E0A" w:rsidRPr="00EC6462" w:rsidRDefault="002E2182" w:rsidP="004F0B6E">
            <w:pPr>
              <w:spacing w:before="120" w:after="12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Outlines revenue allocation, profit distribution, and budget management for INOC and subsidiaries.</w:t>
            </w:r>
          </w:p>
        </w:tc>
        <w:tc>
          <w:tcPr>
            <w:tcW w:w="0" w:type="auto"/>
            <w:hideMark/>
          </w:tcPr>
          <w:p w14:paraId="6C7D7422" w14:textId="5F73B289" w:rsidR="001A0E0A" w:rsidRPr="00EC6462" w:rsidRDefault="00F2496C" w:rsidP="004F0B6E">
            <w:pPr>
              <w:spacing w:before="120" w:after="12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Financial transparency is implied but lacks mandatory public reporting of revenue flows and expenditures.</w:t>
            </w:r>
          </w:p>
        </w:tc>
      </w:tr>
      <w:tr w:rsidR="002E2182" w:rsidRPr="00CF78E2" w14:paraId="3948C41D" w14:textId="77777777" w:rsidTr="001A0E0A">
        <w:tc>
          <w:tcPr>
            <w:tcW w:w="0" w:type="auto"/>
            <w:hideMark/>
          </w:tcPr>
          <w:p w14:paraId="77AE393F" w14:textId="77777777" w:rsidR="001A0E0A" w:rsidRPr="00CF78E2" w:rsidRDefault="001A0E0A" w:rsidP="00C33FCF">
            <w:pPr>
              <w:spacing w:before="120" w:after="120"/>
              <w:jc w:val="both"/>
              <w:rPr>
                <w:rFonts w:ascii="Kohinoor Devanagari" w:hAnsi="Kohinoor Devanagari" w:cs="Kohinoor Devanagari"/>
                <w:sz w:val="20"/>
                <w:szCs w:val="20"/>
                <w:lang w:eastAsia="en-GB"/>
              </w:rPr>
            </w:pPr>
            <w:r w:rsidRPr="00CF78E2">
              <w:rPr>
                <w:rFonts w:ascii="Kohinoor Devanagari" w:hAnsi="Kohinoor Devanagari" w:cs="Kohinoor Devanagari"/>
                <w:b/>
                <w:bCs/>
                <w:sz w:val="20"/>
                <w:szCs w:val="20"/>
                <w:lang w:eastAsia="en-GB"/>
              </w:rPr>
              <w:t>Governance and Oversight</w:t>
            </w:r>
          </w:p>
        </w:tc>
        <w:tc>
          <w:tcPr>
            <w:tcW w:w="0" w:type="auto"/>
            <w:hideMark/>
          </w:tcPr>
          <w:p w14:paraId="71D71B12" w14:textId="77777777" w:rsidR="001A0E0A" w:rsidRPr="00CF78E2" w:rsidRDefault="001A0E0A" w:rsidP="00C33FCF">
            <w:pPr>
              <w:spacing w:before="120" w:after="120"/>
              <w:jc w:val="both"/>
              <w:rPr>
                <w:rFonts w:ascii="Kohinoor Devanagari" w:hAnsi="Kohinoor Devanagari" w:cs="Kohinoor Devanagari"/>
                <w:sz w:val="20"/>
                <w:szCs w:val="20"/>
                <w:lang w:eastAsia="en-GB"/>
              </w:rPr>
            </w:pPr>
            <w:r w:rsidRPr="00CF78E2">
              <w:rPr>
                <w:rFonts w:ascii="Kohinoor Devanagari" w:hAnsi="Kohinoor Devanagari" w:cs="Kohinoor Devanagari"/>
                <w:sz w:val="20"/>
                <w:szCs w:val="20"/>
                <w:lang w:eastAsia="en-GB"/>
              </w:rPr>
              <w:t>Articles 6, 8, 9</w:t>
            </w:r>
          </w:p>
        </w:tc>
        <w:tc>
          <w:tcPr>
            <w:tcW w:w="0" w:type="auto"/>
            <w:hideMark/>
          </w:tcPr>
          <w:p w14:paraId="64368509" w14:textId="77777777" w:rsidR="001A0E0A" w:rsidRPr="00CF78E2" w:rsidRDefault="001A0E0A" w:rsidP="004F0B6E">
            <w:pPr>
              <w:spacing w:before="120" w:after="120"/>
              <w:rPr>
                <w:rFonts w:ascii="Kohinoor Devanagari" w:hAnsi="Kohinoor Devanagari" w:cs="Kohinoor Devanagari"/>
                <w:sz w:val="20"/>
                <w:szCs w:val="20"/>
                <w:lang w:eastAsia="en-GB"/>
              </w:rPr>
            </w:pPr>
            <w:r w:rsidRPr="00CF78E2">
              <w:rPr>
                <w:rFonts w:ascii="Kohinoor Devanagari" w:hAnsi="Kohinoor Devanagari" w:cs="Kohinoor Devanagari"/>
                <w:sz w:val="20"/>
                <w:szCs w:val="20"/>
                <w:lang w:eastAsia="en-GB"/>
              </w:rPr>
              <w:t>Establishes a Board of Directors responsible for strategic oversight and operational decision-making.</w:t>
            </w:r>
          </w:p>
        </w:tc>
        <w:tc>
          <w:tcPr>
            <w:tcW w:w="0" w:type="auto"/>
            <w:hideMark/>
          </w:tcPr>
          <w:p w14:paraId="1A9AA215" w14:textId="5166D6A2" w:rsidR="001A0E0A" w:rsidRPr="00CF78E2" w:rsidRDefault="001A0E0A" w:rsidP="004F0B6E">
            <w:pPr>
              <w:spacing w:before="120" w:after="120"/>
              <w:rPr>
                <w:rFonts w:ascii="Kohinoor Devanagari" w:hAnsi="Kohinoor Devanagari" w:cs="Kohinoor Devanagari"/>
                <w:sz w:val="20"/>
                <w:szCs w:val="20"/>
                <w:lang w:eastAsia="en-GB"/>
              </w:rPr>
            </w:pPr>
            <w:r w:rsidRPr="00CF78E2">
              <w:rPr>
                <w:rFonts w:ascii="Kohinoor Devanagari" w:hAnsi="Kohinoor Devanagari" w:cs="Kohinoor Devanagari"/>
                <w:sz w:val="20"/>
                <w:szCs w:val="20"/>
                <w:lang w:eastAsia="en-GB"/>
              </w:rPr>
              <w:t>Provides an oversight mechanism</w:t>
            </w:r>
            <w:r w:rsidR="003F0D79" w:rsidRPr="00CF78E2">
              <w:rPr>
                <w:rFonts w:ascii="Kohinoor Devanagari" w:hAnsi="Kohinoor Devanagari" w:cs="Kohinoor Devanagari"/>
                <w:sz w:val="20"/>
                <w:szCs w:val="20"/>
                <w:lang w:eastAsia="en-GB"/>
              </w:rPr>
              <w:t>.</w:t>
            </w:r>
          </w:p>
        </w:tc>
      </w:tr>
      <w:tr w:rsidR="002E2182" w:rsidRPr="00CF78E2" w14:paraId="133BCCA3" w14:textId="77777777" w:rsidTr="001A0E0A">
        <w:tc>
          <w:tcPr>
            <w:tcW w:w="0" w:type="auto"/>
            <w:hideMark/>
          </w:tcPr>
          <w:p w14:paraId="37986720" w14:textId="77777777" w:rsidR="001A0E0A" w:rsidRPr="00CF78E2" w:rsidRDefault="001A0E0A" w:rsidP="00C33FCF">
            <w:pPr>
              <w:spacing w:before="120" w:after="120"/>
              <w:jc w:val="both"/>
              <w:rPr>
                <w:rFonts w:ascii="Kohinoor Devanagari" w:hAnsi="Kohinoor Devanagari" w:cs="Kohinoor Devanagari"/>
                <w:sz w:val="20"/>
                <w:szCs w:val="20"/>
                <w:lang w:eastAsia="en-GB"/>
              </w:rPr>
            </w:pPr>
            <w:r w:rsidRPr="00CF78E2">
              <w:rPr>
                <w:rFonts w:ascii="Kohinoor Devanagari" w:hAnsi="Kohinoor Devanagari" w:cs="Kohinoor Devanagari"/>
                <w:b/>
                <w:bCs/>
                <w:sz w:val="20"/>
                <w:szCs w:val="20"/>
                <w:lang w:eastAsia="en-GB"/>
              </w:rPr>
              <w:t>Transparency and Anti-Corruption</w:t>
            </w:r>
          </w:p>
        </w:tc>
        <w:tc>
          <w:tcPr>
            <w:tcW w:w="0" w:type="auto"/>
            <w:hideMark/>
          </w:tcPr>
          <w:p w14:paraId="6CB90140" w14:textId="77777777" w:rsidR="001A0E0A" w:rsidRPr="00CF78E2" w:rsidRDefault="001A0E0A" w:rsidP="00C33FCF">
            <w:pPr>
              <w:spacing w:before="120" w:after="120"/>
              <w:jc w:val="both"/>
              <w:rPr>
                <w:rFonts w:ascii="Kohinoor Devanagari" w:hAnsi="Kohinoor Devanagari" w:cs="Kohinoor Devanagari"/>
                <w:sz w:val="20"/>
                <w:szCs w:val="20"/>
                <w:lang w:eastAsia="en-GB"/>
              </w:rPr>
            </w:pPr>
            <w:r w:rsidRPr="00CF78E2">
              <w:rPr>
                <w:rFonts w:ascii="Kohinoor Devanagari" w:hAnsi="Kohinoor Devanagari" w:cs="Kohinoor Devanagari"/>
                <w:sz w:val="20"/>
                <w:szCs w:val="20"/>
                <w:lang w:eastAsia="en-GB"/>
              </w:rPr>
              <w:t>Article 8 (8)</w:t>
            </w:r>
          </w:p>
        </w:tc>
        <w:tc>
          <w:tcPr>
            <w:tcW w:w="0" w:type="auto"/>
            <w:hideMark/>
          </w:tcPr>
          <w:p w14:paraId="1071F129" w14:textId="0F928436" w:rsidR="001A0E0A" w:rsidRPr="00CF78E2" w:rsidRDefault="00266D53" w:rsidP="004F0B6E">
            <w:pPr>
              <w:spacing w:before="120" w:after="120"/>
              <w:rPr>
                <w:rFonts w:ascii="Kohinoor Devanagari" w:hAnsi="Kohinoor Devanagari" w:cs="Kohinoor Devanagari"/>
                <w:sz w:val="20"/>
                <w:szCs w:val="20"/>
                <w:lang w:eastAsia="en-GB"/>
              </w:rPr>
            </w:pPr>
            <w:r w:rsidRPr="00CF78E2">
              <w:rPr>
                <w:rFonts w:ascii="Kohinoor Devanagari" w:hAnsi="Kohinoor Devanagari" w:cs="Kohinoor Devanagari"/>
                <w:sz w:val="20"/>
                <w:szCs w:val="20"/>
                <w:lang w:eastAsia="en-GB"/>
              </w:rPr>
              <w:t>Mandates the adoption of transparency and anti-corruption policies in the oil and gas sector.</w:t>
            </w:r>
          </w:p>
        </w:tc>
        <w:tc>
          <w:tcPr>
            <w:tcW w:w="0" w:type="auto"/>
            <w:hideMark/>
          </w:tcPr>
          <w:p w14:paraId="7E3D5D93" w14:textId="0369A812" w:rsidR="001A0E0A" w:rsidRPr="00CF78E2" w:rsidRDefault="00C030ED" w:rsidP="004F0B6E">
            <w:pPr>
              <w:spacing w:before="120" w:after="120"/>
              <w:rPr>
                <w:rFonts w:ascii="Kohinoor Devanagari" w:hAnsi="Kohinoor Devanagari" w:cs="Kohinoor Devanagari"/>
                <w:sz w:val="20"/>
                <w:szCs w:val="20"/>
                <w:lang w:eastAsia="en-GB"/>
              </w:rPr>
            </w:pPr>
            <w:r w:rsidRPr="00CF78E2">
              <w:rPr>
                <w:rFonts w:ascii="Kohinoor Devanagari" w:hAnsi="Kohinoor Devanagari" w:cs="Kohinoor Devanagari"/>
                <w:sz w:val="20"/>
                <w:szCs w:val="20"/>
                <w:lang w:eastAsia="en-GB"/>
              </w:rPr>
              <w:t>Encourages transparency but lacks explicit measures for public accountability.</w:t>
            </w:r>
          </w:p>
        </w:tc>
      </w:tr>
      <w:tr w:rsidR="002E2182" w:rsidRPr="00CF78E2" w14:paraId="29ED70DA" w14:textId="77777777" w:rsidTr="001A0E0A">
        <w:tc>
          <w:tcPr>
            <w:tcW w:w="0" w:type="auto"/>
            <w:hideMark/>
          </w:tcPr>
          <w:p w14:paraId="782642FB" w14:textId="77777777" w:rsidR="001A0E0A" w:rsidRPr="00CF78E2" w:rsidRDefault="001A0E0A" w:rsidP="00C33FCF">
            <w:pPr>
              <w:spacing w:before="120" w:after="120"/>
              <w:jc w:val="both"/>
              <w:rPr>
                <w:rFonts w:ascii="Kohinoor Devanagari" w:hAnsi="Kohinoor Devanagari" w:cs="Kohinoor Devanagari"/>
                <w:sz w:val="20"/>
                <w:szCs w:val="20"/>
                <w:lang w:eastAsia="en-GB"/>
              </w:rPr>
            </w:pPr>
            <w:r w:rsidRPr="00CF78E2">
              <w:rPr>
                <w:rFonts w:ascii="Kohinoor Devanagari" w:hAnsi="Kohinoor Devanagari" w:cs="Kohinoor Devanagari"/>
                <w:b/>
                <w:bCs/>
                <w:sz w:val="20"/>
                <w:szCs w:val="20"/>
                <w:lang w:eastAsia="en-GB"/>
              </w:rPr>
              <w:t>Audit and Reporting</w:t>
            </w:r>
          </w:p>
        </w:tc>
        <w:tc>
          <w:tcPr>
            <w:tcW w:w="0" w:type="auto"/>
            <w:hideMark/>
          </w:tcPr>
          <w:p w14:paraId="6EE4991B" w14:textId="6646944A" w:rsidR="001A0E0A" w:rsidRPr="00CF78E2" w:rsidRDefault="001A0E0A" w:rsidP="00C33FCF">
            <w:pPr>
              <w:spacing w:before="120" w:after="120"/>
              <w:jc w:val="both"/>
              <w:rPr>
                <w:rFonts w:ascii="Kohinoor Devanagari" w:hAnsi="Kohinoor Devanagari" w:cs="Kohinoor Devanagari"/>
                <w:sz w:val="20"/>
                <w:szCs w:val="20"/>
                <w:lang w:eastAsia="en-GB"/>
              </w:rPr>
            </w:pPr>
            <w:r w:rsidRPr="00CF78E2">
              <w:rPr>
                <w:rFonts w:ascii="Kohinoor Devanagari" w:hAnsi="Kohinoor Devanagari" w:cs="Kohinoor Devanagari"/>
                <w:sz w:val="20"/>
                <w:szCs w:val="20"/>
                <w:lang w:eastAsia="en-GB"/>
              </w:rPr>
              <w:t>Article 14</w:t>
            </w:r>
          </w:p>
        </w:tc>
        <w:tc>
          <w:tcPr>
            <w:tcW w:w="0" w:type="auto"/>
            <w:hideMark/>
          </w:tcPr>
          <w:p w14:paraId="52D29FD0" w14:textId="65EFFB2D" w:rsidR="001A0E0A" w:rsidRPr="00CF78E2" w:rsidRDefault="002E2182" w:rsidP="004F0B6E">
            <w:pPr>
              <w:spacing w:before="120" w:after="120"/>
              <w:rPr>
                <w:rFonts w:ascii="Kohinoor Devanagari" w:hAnsi="Kohinoor Devanagari" w:cs="Kohinoor Devanagari"/>
                <w:sz w:val="20"/>
                <w:szCs w:val="20"/>
                <w:lang w:eastAsia="en-GB"/>
              </w:rPr>
            </w:pPr>
            <w:r w:rsidRPr="00CF78E2">
              <w:rPr>
                <w:rFonts w:ascii="Kohinoor Devanagari" w:hAnsi="Kohinoor Devanagari" w:cs="Kohinoor Devanagari"/>
                <w:sz w:val="20"/>
                <w:szCs w:val="20"/>
                <w:lang w:eastAsia="en-GB"/>
              </w:rPr>
              <w:t>Requires INOC and its subsidiaries to consolidate financial accounts annually, subject to audit by independent auditors and the Federal Board of Supreme Audit, with final approval by the Council of Ministers.</w:t>
            </w:r>
          </w:p>
        </w:tc>
        <w:tc>
          <w:tcPr>
            <w:tcW w:w="0" w:type="auto"/>
            <w:hideMark/>
          </w:tcPr>
          <w:p w14:paraId="7549C3E7" w14:textId="6F07D272" w:rsidR="001A0E0A" w:rsidRPr="00CF78E2" w:rsidRDefault="00167BA3" w:rsidP="004F0B6E">
            <w:pPr>
              <w:spacing w:before="120" w:after="120"/>
              <w:rPr>
                <w:rFonts w:ascii="Kohinoor Devanagari" w:hAnsi="Kohinoor Devanagari" w:cs="Kohinoor Devanagari"/>
                <w:sz w:val="20"/>
                <w:szCs w:val="20"/>
                <w:lang w:eastAsia="en-GB"/>
              </w:rPr>
            </w:pPr>
            <w:r w:rsidRPr="00CF78E2">
              <w:rPr>
                <w:rFonts w:ascii="Kohinoor Devanagari" w:hAnsi="Kohinoor Devanagari" w:cs="Kohinoor Devanagari"/>
                <w:sz w:val="20"/>
                <w:szCs w:val="20"/>
                <w:lang w:eastAsia="en-GB"/>
              </w:rPr>
              <w:t>Strengthens financial oversight and introduces accountability but does not guarantee public access to audit reports.</w:t>
            </w:r>
          </w:p>
        </w:tc>
      </w:tr>
      <w:tr w:rsidR="002E2182" w:rsidRPr="00EC6462" w14:paraId="78C2FE28" w14:textId="77777777" w:rsidTr="001A0E0A">
        <w:tc>
          <w:tcPr>
            <w:tcW w:w="0" w:type="auto"/>
            <w:hideMark/>
          </w:tcPr>
          <w:p w14:paraId="150F1F75" w14:textId="77777777" w:rsidR="001A0E0A" w:rsidRPr="00EC6462" w:rsidRDefault="001A0E0A" w:rsidP="00C33FCF">
            <w:pPr>
              <w:spacing w:before="120" w:after="120"/>
              <w:jc w:val="both"/>
              <w:rPr>
                <w:rFonts w:ascii="Kohinoor Devanagari" w:hAnsi="Kohinoor Devanagari" w:cs="Kohinoor Devanagari"/>
                <w:sz w:val="20"/>
                <w:szCs w:val="20"/>
                <w:lang w:val="fr-FR" w:eastAsia="en-GB"/>
              </w:rPr>
            </w:pPr>
            <w:r w:rsidRPr="00EC6462">
              <w:rPr>
                <w:rFonts w:ascii="Kohinoor Devanagari" w:hAnsi="Kohinoor Devanagari" w:cs="Kohinoor Devanagari"/>
                <w:b/>
                <w:bCs/>
                <w:sz w:val="20"/>
                <w:szCs w:val="20"/>
                <w:lang w:val="fr-FR" w:eastAsia="en-GB"/>
              </w:rPr>
              <w:t>Revenue Distribution</w:t>
            </w:r>
          </w:p>
        </w:tc>
        <w:tc>
          <w:tcPr>
            <w:tcW w:w="0" w:type="auto"/>
            <w:hideMark/>
          </w:tcPr>
          <w:p w14:paraId="00369131" w14:textId="77777777" w:rsidR="001A0E0A" w:rsidRPr="00EC6462" w:rsidRDefault="001A0E0A" w:rsidP="00C33FCF">
            <w:pPr>
              <w:spacing w:before="120" w:after="120"/>
              <w:jc w:val="both"/>
              <w:rPr>
                <w:rFonts w:ascii="Kohinoor Devanagari" w:hAnsi="Kohinoor Devanagari" w:cs="Kohinoor Devanagari"/>
                <w:sz w:val="20"/>
                <w:szCs w:val="20"/>
                <w:lang w:val="fr-FR" w:eastAsia="en-GB"/>
              </w:rPr>
            </w:pPr>
            <w:r w:rsidRPr="00EC6462">
              <w:rPr>
                <w:rFonts w:ascii="Kohinoor Devanagari" w:hAnsi="Kohinoor Devanagari" w:cs="Kohinoor Devanagari"/>
                <w:sz w:val="20"/>
                <w:szCs w:val="20"/>
                <w:lang w:val="fr-FR" w:eastAsia="en-GB"/>
              </w:rPr>
              <w:t>Article 12 (3)</w:t>
            </w:r>
          </w:p>
        </w:tc>
        <w:tc>
          <w:tcPr>
            <w:tcW w:w="0" w:type="auto"/>
            <w:hideMark/>
          </w:tcPr>
          <w:p w14:paraId="486CB56E" w14:textId="7B6EE17E" w:rsidR="001A0E0A" w:rsidRPr="00EC6462" w:rsidRDefault="00721117" w:rsidP="004F0B6E">
            <w:pPr>
              <w:spacing w:before="120" w:after="12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Specifies allocation of INOC’s profits, including contributions to state treasury, citizen dividend funds, and future generations’ fund.</w:t>
            </w:r>
          </w:p>
        </w:tc>
        <w:tc>
          <w:tcPr>
            <w:tcW w:w="0" w:type="auto"/>
            <w:hideMark/>
          </w:tcPr>
          <w:p w14:paraId="0D791262" w14:textId="77777777" w:rsidR="001A0E0A" w:rsidRPr="00EC6462" w:rsidRDefault="001A0E0A" w:rsidP="004F0B6E">
            <w:pPr>
              <w:spacing w:before="120" w:after="12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Promotes public benefit but lacks detailed reporting on fund utilization.</w:t>
            </w:r>
          </w:p>
        </w:tc>
      </w:tr>
      <w:tr w:rsidR="009C3932" w:rsidRPr="00EC6462" w14:paraId="43876C46" w14:textId="77777777" w:rsidTr="001A0E0A">
        <w:tc>
          <w:tcPr>
            <w:tcW w:w="0" w:type="auto"/>
          </w:tcPr>
          <w:p w14:paraId="4A28453A" w14:textId="789EEC0C" w:rsidR="009C3932" w:rsidRPr="00EC6462" w:rsidRDefault="009C3932" w:rsidP="00C33FCF">
            <w:pPr>
              <w:spacing w:before="120" w:after="120"/>
              <w:jc w:val="both"/>
              <w:rPr>
                <w:rFonts w:ascii="Kohinoor Devanagari" w:hAnsi="Kohinoor Devanagari" w:cs="Kohinoor Devanagari"/>
                <w:b/>
                <w:bCs/>
                <w:sz w:val="20"/>
                <w:szCs w:val="20"/>
                <w:lang w:eastAsia="en-GB"/>
              </w:rPr>
            </w:pPr>
            <w:r w:rsidRPr="00EC6462">
              <w:rPr>
                <w:rFonts w:ascii="Kohinoor Devanagari" w:hAnsi="Kohinoor Devanagari" w:cs="Kohinoor Devanagari"/>
                <w:b/>
                <w:bCs/>
                <w:sz w:val="20"/>
                <w:szCs w:val="20"/>
                <w:lang w:eastAsia="en-GB"/>
              </w:rPr>
              <w:t>Financial Year and Accounting Standards</w:t>
            </w:r>
          </w:p>
        </w:tc>
        <w:tc>
          <w:tcPr>
            <w:tcW w:w="0" w:type="auto"/>
          </w:tcPr>
          <w:p w14:paraId="05F48F07" w14:textId="56243813" w:rsidR="009C3932" w:rsidRPr="00EC6462" w:rsidRDefault="008069F0" w:rsidP="00C33FCF">
            <w:pPr>
              <w:spacing w:before="120" w:after="120"/>
              <w:jc w:val="both"/>
              <w:rPr>
                <w:rFonts w:ascii="Kohinoor Devanagari" w:hAnsi="Kohinoor Devanagari" w:cs="Kohinoor Devanagari"/>
                <w:sz w:val="20"/>
                <w:szCs w:val="20"/>
                <w:lang w:val="fr-FR" w:eastAsia="en-GB"/>
              </w:rPr>
            </w:pPr>
            <w:r w:rsidRPr="00EC6462">
              <w:rPr>
                <w:rFonts w:ascii="Kohinoor Devanagari" w:hAnsi="Kohinoor Devanagari" w:cs="Kohinoor Devanagari"/>
                <w:sz w:val="20"/>
                <w:szCs w:val="20"/>
                <w:lang w:eastAsia="en-GB"/>
              </w:rPr>
              <w:t>Article 14 (2-6)</w:t>
            </w:r>
          </w:p>
        </w:tc>
        <w:tc>
          <w:tcPr>
            <w:tcW w:w="0" w:type="auto"/>
          </w:tcPr>
          <w:p w14:paraId="121FA190" w14:textId="4E27CB86" w:rsidR="009C3932" w:rsidRPr="00EC6462" w:rsidRDefault="008069F0" w:rsidP="004F0B6E">
            <w:pPr>
              <w:spacing w:before="120" w:after="12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Defines the financial year from January 1 to December 31 and mandates the preparation of consolidated annual financial statements based on international accounting standards.</w:t>
            </w:r>
          </w:p>
        </w:tc>
        <w:tc>
          <w:tcPr>
            <w:tcW w:w="0" w:type="auto"/>
          </w:tcPr>
          <w:p w14:paraId="6285D69F" w14:textId="355E01BD" w:rsidR="009C3932" w:rsidRPr="00EC6462" w:rsidRDefault="008069F0" w:rsidP="004F0B6E">
            <w:pPr>
              <w:spacing w:before="120" w:after="12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Ensures structured financial reporting but lacks provisions for proactive public disclosure.</w:t>
            </w:r>
          </w:p>
        </w:tc>
      </w:tr>
    </w:tbl>
    <w:p w14:paraId="08F2D176" w14:textId="77777777" w:rsidR="00CF78E2" w:rsidRPr="00CF78E2" w:rsidRDefault="00CF78E2" w:rsidP="00CF78E2">
      <w:pPr>
        <w:spacing w:before="120" w:after="120" w:line="240" w:lineRule="auto"/>
        <w:ind w:left="360"/>
        <w:jc w:val="both"/>
        <w:rPr>
          <w:rFonts w:ascii="Kohinoor Devanagari" w:hAnsi="Kohinoor Devanagari" w:cs="Kohinoor Devanagari"/>
          <w:b/>
          <w:bCs/>
          <w:i/>
          <w:iCs/>
          <w:sz w:val="22"/>
          <w:szCs w:val="22"/>
          <w:lang w:eastAsia="en-GB"/>
        </w:rPr>
      </w:pPr>
    </w:p>
    <w:p w14:paraId="58241A80" w14:textId="36C399DF" w:rsidR="00E257E9" w:rsidRPr="00A3573B" w:rsidRDefault="00E257E9" w:rsidP="00FD2B68">
      <w:pPr>
        <w:pStyle w:val="ListParagraph"/>
        <w:numPr>
          <w:ilvl w:val="0"/>
          <w:numId w:val="9"/>
        </w:numPr>
        <w:spacing w:before="120" w:after="120" w:line="240" w:lineRule="auto"/>
        <w:jc w:val="both"/>
        <w:rPr>
          <w:rFonts w:ascii="Kohinoor Devanagari" w:hAnsi="Kohinoor Devanagari" w:cs="Kohinoor Devanagari"/>
          <w:b/>
          <w:bCs/>
          <w:i/>
          <w:iCs/>
          <w:sz w:val="22"/>
          <w:szCs w:val="22"/>
          <w:lang w:eastAsia="en-GB"/>
        </w:rPr>
      </w:pPr>
      <w:r w:rsidRPr="00A3573B">
        <w:rPr>
          <w:rFonts w:ascii="Kohinoor Devanagari" w:hAnsi="Kohinoor Devanagari" w:cs="Kohinoor Devanagari"/>
          <w:b/>
          <w:bCs/>
          <w:i/>
          <w:iCs/>
          <w:sz w:val="22"/>
          <w:szCs w:val="22"/>
          <w:lang w:eastAsia="en-GB"/>
        </w:rPr>
        <w:t xml:space="preserve">Challenges and Limitations </w:t>
      </w:r>
    </w:p>
    <w:p w14:paraId="34FB3C07" w14:textId="77777777" w:rsidR="009A133F" w:rsidRPr="00A3573B" w:rsidRDefault="009A133F"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Despite the INOC Law No. 4 of 2018's aim to enhance transparency, several challenges could hinder systematic disclosure of extractive sector data:</w:t>
      </w:r>
    </w:p>
    <w:p w14:paraId="6509C90D" w14:textId="77777777" w:rsidR="00A767A6" w:rsidRPr="00A3573B" w:rsidRDefault="00A767A6" w:rsidP="00FD2B68">
      <w:pPr>
        <w:pStyle w:val="ListParagraph"/>
        <w:numPr>
          <w:ilvl w:val="0"/>
          <w:numId w:val="8"/>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Legal Uncertainty and Institutional Void</w:t>
      </w:r>
      <w:r w:rsidRPr="00A3573B">
        <w:rPr>
          <w:rStyle w:val="FootnoteReference"/>
          <w:rFonts w:ascii="Kohinoor Devanagari" w:hAnsi="Kohinoor Devanagari" w:cs="Kohinoor Devanagari"/>
          <w:b/>
          <w:bCs/>
          <w:sz w:val="22"/>
          <w:szCs w:val="22"/>
          <w:lang w:eastAsia="en-GB"/>
        </w:rPr>
        <w:footnoteReference w:id="2"/>
      </w:r>
      <w:r w:rsidRPr="00A3573B">
        <w:rPr>
          <w:rFonts w:ascii="Kohinoor Devanagari" w:hAnsi="Kohinoor Devanagari" w:cs="Kohinoor Devanagari"/>
          <w:b/>
          <w:bCs/>
          <w:sz w:val="22"/>
          <w:szCs w:val="22"/>
          <w:lang w:eastAsia="en-GB"/>
        </w:rPr>
        <w:t>:</w:t>
      </w:r>
      <w:r w:rsidRPr="00A3573B">
        <w:rPr>
          <w:rFonts w:ascii="Kohinoor Devanagari" w:hAnsi="Kohinoor Devanagari" w:cs="Kohinoor Devanagari"/>
          <w:sz w:val="22"/>
          <w:szCs w:val="22"/>
          <w:lang w:eastAsia="en-GB"/>
        </w:rPr>
        <w:t xml:space="preserve"> The court's ruling nullifies INOC’s legal framework, creating uncertainty regarding the entity responsible for managing and disclosing oil sector</w:t>
      </w:r>
      <w:r w:rsidRPr="00A3573B">
        <w:rPr>
          <w:rFonts w:ascii="Kohinoor Devanagari" w:hAnsi="Kohinoor Devanagari" w:cs="Kohinoor Devanagari"/>
          <w:b/>
          <w:bCs/>
          <w:sz w:val="22"/>
          <w:szCs w:val="22"/>
          <w:lang w:eastAsia="en-GB"/>
        </w:rPr>
        <w:t xml:space="preserve"> data</w:t>
      </w:r>
      <w:r w:rsidRPr="00A3573B">
        <w:rPr>
          <w:rFonts w:ascii="Kohinoor Devanagari" w:hAnsi="Kohinoor Devanagari" w:cs="Kohinoor Devanagari"/>
          <w:sz w:val="22"/>
          <w:szCs w:val="22"/>
          <w:lang w:eastAsia="en-GB"/>
        </w:rPr>
        <w:t>, potentially leading to data fragmentation and reduced accountability.</w:t>
      </w:r>
    </w:p>
    <w:p w14:paraId="57FCA9B8" w14:textId="3BB30766" w:rsidR="009A133F" w:rsidRPr="00A3573B" w:rsidRDefault="009A133F" w:rsidP="00FD2B68">
      <w:pPr>
        <w:pStyle w:val="ListParagraph"/>
        <w:numPr>
          <w:ilvl w:val="0"/>
          <w:numId w:val="8"/>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Lack of Explicit Public Disclosure Requirements:</w:t>
      </w:r>
      <w:r w:rsidRPr="00A3573B">
        <w:rPr>
          <w:rFonts w:ascii="Kohinoor Devanagari" w:hAnsi="Kohinoor Devanagari" w:cs="Kohinoor Devanagari"/>
          <w:sz w:val="22"/>
          <w:szCs w:val="22"/>
          <w:lang w:eastAsia="en-GB"/>
        </w:rPr>
        <w:t xml:space="preserve"> The law mandates internal reporting but does not require the public disclosure of key financial and operational data, limiting access to crucial information such as revenues, contracts, and production figures.</w:t>
      </w:r>
    </w:p>
    <w:p w14:paraId="320909F3" w14:textId="29880B53" w:rsidR="009A133F" w:rsidRPr="00A3573B" w:rsidRDefault="009A133F" w:rsidP="00FD2B68">
      <w:pPr>
        <w:pStyle w:val="ListParagraph"/>
        <w:numPr>
          <w:ilvl w:val="0"/>
          <w:numId w:val="8"/>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Ambiguity in Reporting Scope and Timelines:</w:t>
      </w:r>
      <w:r w:rsidRPr="00A3573B">
        <w:rPr>
          <w:rFonts w:ascii="Kohinoor Devanagari" w:hAnsi="Kohinoor Devanagari" w:cs="Kohinoor Devanagari"/>
          <w:sz w:val="22"/>
          <w:szCs w:val="22"/>
          <w:lang w:eastAsia="en-GB"/>
        </w:rPr>
        <w:t xml:space="preserve"> The law lacks clear guidelines on the content, frequency, and format of published reports, leading to potential inconsistencies and delays in data availability.</w:t>
      </w:r>
    </w:p>
    <w:p w14:paraId="6C892898" w14:textId="6C01866D" w:rsidR="009A133F" w:rsidRPr="00A3573B" w:rsidRDefault="009A133F" w:rsidP="00FD2B68">
      <w:pPr>
        <w:pStyle w:val="ListParagraph"/>
        <w:numPr>
          <w:ilvl w:val="0"/>
          <w:numId w:val="8"/>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Insufficient Coverage of Subsidiary Operations:</w:t>
      </w:r>
      <w:r w:rsidR="00BF7D85" w:rsidRPr="00A3573B">
        <w:rPr>
          <w:rFonts w:ascii="Kohinoor Devanagari" w:hAnsi="Kohinoor Devanagari" w:cs="Kohinoor Devanagari"/>
          <w:sz w:val="22"/>
          <w:szCs w:val="22"/>
          <w:lang w:eastAsia="en-GB"/>
        </w:rPr>
        <w:t xml:space="preserve"> </w:t>
      </w:r>
      <w:r w:rsidRPr="00A3573B">
        <w:rPr>
          <w:rFonts w:ascii="Kohinoor Devanagari" w:hAnsi="Kohinoor Devanagari" w:cs="Kohinoor Devanagari"/>
          <w:sz w:val="22"/>
          <w:szCs w:val="22"/>
          <w:lang w:eastAsia="en-GB"/>
        </w:rPr>
        <w:t>Although INOC is required to report on subsidiaries, the level of detail and scope of disclosure are not well-defined, potentially obscuring critical financial flows.</w:t>
      </w:r>
    </w:p>
    <w:p w14:paraId="17FB9E20" w14:textId="56ECD17A" w:rsidR="009A133F" w:rsidRPr="00A3573B" w:rsidRDefault="009A133F" w:rsidP="00FD2B68">
      <w:pPr>
        <w:pStyle w:val="ListParagraph"/>
        <w:numPr>
          <w:ilvl w:val="0"/>
          <w:numId w:val="8"/>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Restrictions on Revenue Transparency:</w:t>
      </w:r>
      <w:r w:rsidR="00BF7D85" w:rsidRPr="00A3573B">
        <w:rPr>
          <w:rFonts w:ascii="Kohinoor Devanagari" w:hAnsi="Kohinoor Devanagari" w:cs="Kohinoor Devanagari"/>
          <w:sz w:val="22"/>
          <w:szCs w:val="22"/>
          <w:lang w:eastAsia="en-GB"/>
        </w:rPr>
        <w:t xml:space="preserve"> </w:t>
      </w:r>
      <w:r w:rsidRPr="00A3573B">
        <w:rPr>
          <w:rFonts w:ascii="Kohinoor Devanagari" w:hAnsi="Kohinoor Devanagari" w:cs="Kohinoor Devanagari"/>
          <w:sz w:val="22"/>
          <w:szCs w:val="22"/>
          <w:lang w:eastAsia="en-GB"/>
        </w:rPr>
        <w:t>The law provides broad revenue allocation guidelines but lacks mechanisms to ensure detailed and periodic public reporting, affecting accountability.</w:t>
      </w:r>
    </w:p>
    <w:p w14:paraId="7D0BFED3" w14:textId="35C975A8" w:rsidR="000473FA" w:rsidRPr="00A3573B" w:rsidRDefault="000473FA" w:rsidP="00FD2B68">
      <w:pPr>
        <w:pStyle w:val="ListParagraph"/>
        <w:numPr>
          <w:ilvl w:val="0"/>
          <w:numId w:val="8"/>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Absence of a Centralized Reporting Mechanism:</w:t>
      </w:r>
      <w:r w:rsidRPr="00A3573B">
        <w:rPr>
          <w:rFonts w:ascii="Kohinoor Devanagari" w:hAnsi="Kohinoor Devanagari" w:cs="Kohinoor Devanagari"/>
          <w:sz w:val="22"/>
          <w:szCs w:val="22"/>
        </w:rPr>
        <w:t xml:space="preserve"> </w:t>
      </w:r>
      <w:r w:rsidRPr="00A3573B">
        <w:rPr>
          <w:rFonts w:ascii="Kohinoor Devanagari" w:hAnsi="Kohinoor Devanagari" w:cs="Kohinoor Devanagari"/>
          <w:sz w:val="22"/>
          <w:szCs w:val="22"/>
          <w:lang w:eastAsia="en-GB"/>
        </w:rPr>
        <w:t>Without INOC, there is no single entity responsible for consolidated reporting and proactive disclosure of financial and operational information, impacting systematic and timely data publication.</w:t>
      </w:r>
    </w:p>
    <w:p w14:paraId="183EE2F5" w14:textId="7CC81FFE" w:rsidR="00E269EA" w:rsidRPr="00A3573B" w:rsidRDefault="00395D84" w:rsidP="00FD2B68">
      <w:pPr>
        <w:pStyle w:val="Heading3"/>
        <w:numPr>
          <w:ilvl w:val="2"/>
          <w:numId w:val="74"/>
        </w:numPr>
        <w:spacing w:before="120" w:after="120" w:line="240" w:lineRule="auto"/>
        <w:ind w:left="567" w:hanging="567"/>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The draft</w:t>
      </w:r>
      <w:r w:rsidR="00E269EA" w:rsidRPr="00A3573B">
        <w:rPr>
          <w:rFonts w:ascii="Kohinoor Devanagari" w:hAnsi="Kohinoor Devanagari" w:cs="Kohinoor Devanagari"/>
          <w:b/>
          <w:bCs/>
          <w:sz w:val="22"/>
          <w:szCs w:val="22"/>
          <w:lang w:eastAsia="en-GB"/>
        </w:rPr>
        <w:t xml:space="preserve"> Federal Oil &amp; Gas Draft Law</w:t>
      </w:r>
    </w:p>
    <w:p w14:paraId="0E58F894" w14:textId="77777777" w:rsidR="00300DB2" w:rsidRPr="00A3573B" w:rsidRDefault="00300DB2" w:rsidP="00300DB2">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The Draft Oil and Gas Law is intended to provide the long-overdue legal framework for regulating Iraq’s oil and gas sector, as required under Article 112 of the Constitution. Despite its critical importance, the law has yet to be enacted. The initial draft, approved by the Council of Ministers in February 2007, faced opposition and was later revised in April 2007, but it failed to pass due to political disagreements. A revised draft was presented to the Council of Ministers in 2011, incorporating key governance and transparency provisions.</w:t>
      </w:r>
    </w:p>
    <w:p w14:paraId="2AE0377E" w14:textId="77777777" w:rsidR="00306A93" w:rsidRPr="00A3573B" w:rsidRDefault="00306A93" w:rsidP="00FD2B68">
      <w:pPr>
        <w:pStyle w:val="ListParagraph"/>
        <w:numPr>
          <w:ilvl w:val="0"/>
          <w:numId w:val="7"/>
        </w:numPr>
        <w:spacing w:before="120" w:after="120" w:line="240" w:lineRule="auto"/>
        <w:jc w:val="both"/>
        <w:rPr>
          <w:rFonts w:ascii="Kohinoor Devanagari" w:hAnsi="Kohinoor Devanagari" w:cs="Kohinoor Devanagari"/>
          <w:b/>
          <w:bCs/>
          <w:i/>
          <w:iCs/>
          <w:sz w:val="22"/>
          <w:szCs w:val="22"/>
          <w:lang w:eastAsia="en-GB"/>
        </w:rPr>
      </w:pPr>
      <w:r w:rsidRPr="00A3573B">
        <w:rPr>
          <w:rFonts w:ascii="Kohinoor Devanagari" w:hAnsi="Kohinoor Devanagari" w:cs="Kohinoor Devanagari"/>
          <w:b/>
          <w:bCs/>
          <w:i/>
          <w:iCs/>
          <w:sz w:val="22"/>
          <w:szCs w:val="22"/>
          <w:lang w:eastAsia="en-GB"/>
        </w:rPr>
        <w:t>Key Data Disclosure provisions</w:t>
      </w:r>
    </w:p>
    <w:tbl>
      <w:tblPr>
        <w:tblStyle w:val="TableGrid"/>
        <w:tblW w:w="0" w:type="auto"/>
        <w:tblBorders>
          <w:top w:val="single" w:sz="4" w:space="0" w:color="61BC4D"/>
          <w:left w:val="single" w:sz="4" w:space="0" w:color="61BC4D"/>
          <w:bottom w:val="single" w:sz="4" w:space="0" w:color="61BC4D"/>
          <w:right w:val="single" w:sz="4" w:space="0" w:color="61BC4D"/>
          <w:insideH w:val="single" w:sz="4" w:space="0" w:color="61BC4D"/>
          <w:insideV w:val="single" w:sz="4" w:space="0" w:color="61BC4D"/>
        </w:tblBorders>
        <w:tblLook w:val="04A0" w:firstRow="1" w:lastRow="0" w:firstColumn="1" w:lastColumn="0" w:noHBand="0" w:noVBand="1"/>
      </w:tblPr>
      <w:tblGrid>
        <w:gridCol w:w="1926"/>
        <w:gridCol w:w="1207"/>
        <w:gridCol w:w="2960"/>
        <w:gridCol w:w="3245"/>
      </w:tblGrid>
      <w:tr w:rsidR="00D84D5F" w:rsidRPr="00EC6462" w14:paraId="1ED2D645" w14:textId="77777777" w:rsidTr="0009294E">
        <w:trPr>
          <w:tblHeader/>
        </w:trPr>
        <w:tc>
          <w:tcPr>
            <w:tcW w:w="0" w:type="auto"/>
            <w:shd w:val="clear" w:color="auto" w:fill="748A96"/>
            <w:hideMark/>
          </w:tcPr>
          <w:p w14:paraId="4C0AB7C4" w14:textId="77777777" w:rsidR="008C1242" w:rsidRPr="00EC6462" w:rsidRDefault="008C1242" w:rsidP="00C33FCF">
            <w:pPr>
              <w:spacing w:before="120" w:after="120"/>
              <w:jc w:val="both"/>
              <w:rPr>
                <w:rFonts w:ascii="Kohinoor Devanagari" w:hAnsi="Kohinoor Devanagari" w:cs="Kohinoor Devanagari"/>
                <w:b/>
                <w:bCs/>
                <w:color w:val="FFFFFF" w:themeColor="background1"/>
                <w:sz w:val="20"/>
                <w:szCs w:val="20"/>
                <w:lang w:val="fr-FR" w:eastAsia="en-GB"/>
              </w:rPr>
            </w:pPr>
            <w:r w:rsidRPr="00EC6462">
              <w:rPr>
                <w:rFonts w:ascii="Kohinoor Devanagari" w:hAnsi="Kohinoor Devanagari" w:cs="Kohinoor Devanagari"/>
                <w:b/>
                <w:bCs/>
                <w:color w:val="FFFFFF" w:themeColor="background1"/>
                <w:sz w:val="20"/>
                <w:szCs w:val="20"/>
                <w:lang w:val="fr-FR" w:eastAsia="en-GB"/>
              </w:rPr>
              <w:t>Provision Area</w:t>
            </w:r>
          </w:p>
        </w:tc>
        <w:tc>
          <w:tcPr>
            <w:tcW w:w="0" w:type="auto"/>
            <w:shd w:val="clear" w:color="auto" w:fill="748A96"/>
            <w:hideMark/>
          </w:tcPr>
          <w:p w14:paraId="5238CB1F" w14:textId="77777777" w:rsidR="008C1242" w:rsidRPr="00EC6462" w:rsidRDefault="008C1242" w:rsidP="00C33FCF">
            <w:pPr>
              <w:spacing w:before="120" w:after="120"/>
              <w:jc w:val="both"/>
              <w:rPr>
                <w:rFonts w:ascii="Kohinoor Devanagari" w:hAnsi="Kohinoor Devanagari" w:cs="Kohinoor Devanagari"/>
                <w:b/>
                <w:bCs/>
                <w:color w:val="FFFFFF" w:themeColor="background1"/>
                <w:sz w:val="20"/>
                <w:szCs w:val="20"/>
                <w:lang w:val="fr-FR" w:eastAsia="en-GB"/>
              </w:rPr>
            </w:pPr>
            <w:r w:rsidRPr="00EC6462">
              <w:rPr>
                <w:rFonts w:ascii="Kohinoor Devanagari" w:hAnsi="Kohinoor Devanagari" w:cs="Kohinoor Devanagari"/>
                <w:b/>
                <w:bCs/>
                <w:color w:val="FFFFFF" w:themeColor="background1"/>
                <w:sz w:val="20"/>
                <w:szCs w:val="20"/>
                <w:lang w:val="fr-FR" w:eastAsia="en-GB"/>
              </w:rPr>
              <w:t>Relevant Articles</w:t>
            </w:r>
          </w:p>
        </w:tc>
        <w:tc>
          <w:tcPr>
            <w:tcW w:w="0" w:type="auto"/>
            <w:shd w:val="clear" w:color="auto" w:fill="748A96"/>
            <w:hideMark/>
          </w:tcPr>
          <w:p w14:paraId="67D533D5" w14:textId="77777777" w:rsidR="008C1242" w:rsidRPr="00EC6462" w:rsidRDefault="008C1242" w:rsidP="00C33FCF">
            <w:pPr>
              <w:spacing w:before="120" w:after="120"/>
              <w:jc w:val="both"/>
              <w:rPr>
                <w:rFonts w:ascii="Kohinoor Devanagari" w:hAnsi="Kohinoor Devanagari" w:cs="Kohinoor Devanagari"/>
                <w:b/>
                <w:bCs/>
                <w:color w:val="FFFFFF" w:themeColor="background1"/>
                <w:sz w:val="20"/>
                <w:szCs w:val="20"/>
                <w:lang w:val="fr-FR" w:eastAsia="en-GB"/>
              </w:rPr>
            </w:pPr>
            <w:r w:rsidRPr="00EC6462">
              <w:rPr>
                <w:rFonts w:ascii="Kohinoor Devanagari" w:hAnsi="Kohinoor Devanagari" w:cs="Kohinoor Devanagari"/>
                <w:b/>
                <w:bCs/>
                <w:color w:val="FFFFFF" w:themeColor="background1"/>
                <w:sz w:val="20"/>
                <w:szCs w:val="20"/>
                <w:lang w:val="fr-FR" w:eastAsia="en-GB"/>
              </w:rPr>
              <w:t>Key Provisions</w:t>
            </w:r>
          </w:p>
        </w:tc>
        <w:tc>
          <w:tcPr>
            <w:tcW w:w="0" w:type="auto"/>
            <w:shd w:val="clear" w:color="auto" w:fill="748A96"/>
            <w:hideMark/>
          </w:tcPr>
          <w:p w14:paraId="79326ED5" w14:textId="77777777" w:rsidR="008C1242" w:rsidRPr="00EC6462" w:rsidRDefault="008C1242" w:rsidP="00C33FCF">
            <w:pPr>
              <w:spacing w:before="120" w:after="120"/>
              <w:jc w:val="both"/>
              <w:rPr>
                <w:rFonts w:ascii="Kohinoor Devanagari" w:hAnsi="Kohinoor Devanagari" w:cs="Kohinoor Devanagari"/>
                <w:b/>
                <w:bCs/>
                <w:color w:val="FFFFFF" w:themeColor="background1"/>
                <w:sz w:val="20"/>
                <w:szCs w:val="20"/>
                <w:lang w:eastAsia="en-GB"/>
              </w:rPr>
            </w:pPr>
            <w:r w:rsidRPr="00EC6462">
              <w:rPr>
                <w:rFonts w:ascii="Kohinoor Devanagari" w:hAnsi="Kohinoor Devanagari" w:cs="Kohinoor Devanagari"/>
                <w:b/>
                <w:bCs/>
                <w:color w:val="FFFFFF" w:themeColor="background1"/>
                <w:sz w:val="20"/>
                <w:szCs w:val="20"/>
                <w:lang w:eastAsia="en-GB"/>
              </w:rPr>
              <w:t>Implications for Systematic Data Disclosure</w:t>
            </w:r>
          </w:p>
        </w:tc>
      </w:tr>
      <w:tr w:rsidR="008C1242" w:rsidRPr="003832CB" w14:paraId="3834C113" w14:textId="77777777" w:rsidTr="008C1242">
        <w:tc>
          <w:tcPr>
            <w:tcW w:w="0" w:type="auto"/>
            <w:hideMark/>
          </w:tcPr>
          <w:p w14:paraId="1972D655" w14:textId="77777777" w:rsidR="008C1242" w:rsidRPr="003832CB" w:rsidRDefault="008C1242" w:rsidP="00C33FCF">
            <w:pPr>
              <w:spacing w:before="120" w:after="120"/>
              <w:jc w:val="both"/>
              <w:rPr>
                <w:rFonts w:ascii="Kohinoor Devanagari" w:hAnsi="Kohinoor Devanagari" w:cs="Kohinoor Devanagari"/>
                <w:sz w:val="20"/>
                <w:szCs w:val="20"/>
                <w:lang w:eastAsia="en-GB"/>
              </w:rPr>
            </w:pPr>
            <w:r w:rsidRPr="003832CB">
              <w:rPr>
                <w:rFonts w:ascii="Kohinoor Devanagari" w:hAnsi="Kohinoor Devanagari" w:cs="Kohinoor Devanagari"/>
                <w:b/>
                <w:bCs/>
                <w:sz w:val="20"/>
                <w:szCs w:val="20"/>
                <w:lang w:eastAsia="en-GB"/>
              </w:rPr>
              <w:t>Data Ownership and Access</w:t>
            </w:r>
          </w:p>
        </w:tc>
        <w:tc>
          <w:tcPr>
            <w:tcW w:w="0" w:type="auto"/>
            <w:hideMark/>
          </w:tcPr>
          <w:p w14:paraId="6595365F" w14:textId="77777777" w:rsidR="008C1242" w:rsidRPr="003832CB" w:rsidRDefault="008C1242" w:rsidP="00C33FCF">
            <w:pPr>
              <w:spacing w:before="120" w:after="120"/>
              <w:jc w:val="both"/>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Articles 16, 35-37</w:t>
            </w:r>
          </w:p>
        </w:tc>
        <w:tc>
          <w:tcPr>
            <w:tcW w:w="0" w:type="auto"/>
            <w:hideMark/>
          </w:tcPr>
          <w:p w14:paraId="12D76A0F" w14:textId="77777777" w:rsidR="00965F2F" w:rsidRPr="003832CB" w:rsidRDefault="008C1242" w:rsidP="004F0B6E">
            <w:pPr>
              <w:spacing w:before="120" w:after="120"/>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 xml:space="preserve">- Establishes a National Center for Petroleum Information with exclusive ownership of petroleum-related data. </w:t>
            </w:r>
          </w:p>
          <w:p w14:paraId="42071B0B" w14:textId="77777777" w:rsidR="00965F2F" w:rsidRPr="003832CB" w:rsidRDefault="008C1242" w:rsidP="004F0B6E">
            <w:pPr>
              <w:spacing w:before="120" w:after="120"/>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 xml:space="preserve">- Data cannot be published or shared without prior approval. </w:t>
            </w:r>
          </w:p>
          <w:p w14:paraId="2853BCE5" w14:textId="1098692A" w:rsidR="008C1242" w:rsidRPr="003832CB" w:rsidRDefault="008C1242" w:rsidP="004F0B6E">
            <w:pPr>
              <w:spacing w:before="120" w:after="120"/>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 Unauthorized possession, sale, or transfer of data is prohibited.</w:t>
            </w:r>
          </w:p>
        </w:tc>
        <w:tc>
          <w:tcPr>
            <w:tcW w:w="0" w:type="auto"/>
            <w:hideMark/>
          </w:tcPr>
          <w:p w14:paraId="2F8263A0" w14:textId="6C026C41" w:rsidR="008C1242" w:rsidRPr="003832CB" w:rsidRDefault="008C1242" w:rsidP="004F0B6E">
            <w:pPr>
              <w:spacing w:before="120" w:after="120"/>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 xml:space="preserve">- Restricts automatic public disclosure and creates barriers to data accessibility. </w:t>
            </w:r>
            <w:r w:rsidRPr="003832CB">
              <w:rPr>
                <w:rFonts w:ascii="Kohinoor Devanagari" w:hAnsi="Kohinoor Devanagari" w:cs="Kohinoor Devanagari"/>
                <w:sz w:val="20"/>
                <w:szCs w:val="20"/>
                <w:lang w:eastAsia="en-GB"/>
              </w:rPr>
              <w:br/>
            </w:r>
            <w:r w:rsidR="00B64A74" w:rsidRPr="003832CB">
              <w:rPr>
                <w:rFonts w:ascii="Kohinoor Devanagari" w:hAnsi="Kohinoor Devanagari" w:cs="Kohinoor Devanagari"/>
                <w:sz w:val="20"/>
                <w:szCs w:val="20"/>
                <w:lang w:eastAsia="en-GB"/>
              </w:rPr>
              <w:t>- Potential lack of transparency on petroleum costs, making it difficult to verify cost recovery claims and assess state revenues.</w:t>
            </w:r>
          </w:p>
        </w:tc>
      </w:tr>
      <w:tr w:rsidR="008C1242" w:rsidRPr="003832CB" w14:paraId="0170C007" w14:textId="77777777" w:rsidTr="008C1242">
        <w:tc>
          <w:tcPr>
            <w:tcW w:w="0" w:type="auto"/>
            <w:hideMark/>
          </w:tcPr>
          <w:p w14:paraId="5ADFC879" w14:textId="77777777" w:rsidR="008C1242" w:rsidRPr="003832CB" w:rsidRDefault="008C1242" w:rsidP="00C33FCF">
            <w:pPr>
              <w:spacing w:before="120" w:after="120"/>
              <w:jc w:val="both"/>
              <w:rPr>
                <w:rFonts w:ascii="Kohinoor Devanagari" w:hAnsi="Kohinoor Devanagari" w:cs="Kohinoor Devanagari"/>
                <w:sz w:val="20"/>
                <w:szCs w:val="20"/>
                <w:lang w:eastAsia="en-GB"/>
              </w:rPr>
            </w:pPr>
            <w:r w:rsidRPr="003832CB">
              <w:rPr>
                <w:rFonts w:ascii="Kohinoor Devanagari" w:hAnsi="Kohinoor Devanagari" w:cs="Kohinoor Devanagari"/>
                <w:b/>
                <w:bCs/>
                <w:sz w:val="20"/>
                <w:szCs w:val="20"/>
                <w:lang w:eastAsia="en-GB"/>
              </w:rPr>
              <w:t>Transparency in Licensing &amp; Tenders</w:t>
            </w:r>
          </w:p>
        </w:tc>
        <w:tc>
          <w:tcPr>
            <w:tcW w:w="0" w:type="auto"/>
            <w:hideMark/>
          </w:tcPr>
          <w:p w14:paraId="561AAA3D" w14:textId="77777777" w:rsidR="008C1242" w:rsidRPr="003832CB" w:rsidRDefault="008C1242" w:rsidP="00C33FCF">
            <w:pPr>
              <w:spacing w:before="120" w:after="120"/>
              <w:jc w:val="both"/>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Articles 19-20</w:t>
            </w:r>
          </w:p>
        </w:tc>
        <w:tc>
          <w:tcPr>
            <w:tcW w:w="0" w:type="auto"/>
            <w:hideMark/>
          </w:tcPr>
          <w:p w14:paraId="799B76BF" w14:textId="77777777" w:rsidR="00965F2F" w:rsidRPr="003832CB" w:rsidRDefault="008C1242" w:rsidP="004F0B6E">
            <w:pPr>
              <w:spacing w:before="120" w:after="120"/>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 Requires public tenders for oil and gas contracts with clear selection criteria.</w:t>
            </w:r>
          </w:p>
          <w:p w14:paraId="06D61390" w14:textId="5DB92EC9" w:rsidR="00965F2F" w:rsidRPr="003832CB" w:rsidRDefault="008C1242" w:rsidP="004F0B6E">
            <w:pPr>
              <w:spacing w:before="120" w:after="120"/>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 xml:space="preserve">- Allows competitors to appeal contract awards. </w:t>
            </w:r>
          </w:p>
          <w:p w14:paraId="5801CFA8" w14:textId="73A7C8FA" w:rsidR="008C1242" w:rsidRPr="003832CB" w:rsidRDefault="008C1242" w:rsidP="004F0B6E">
            <w:pPr>
              <w:spacing w:before="120" w:after="120"/>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 Contracts violating transparency rules are null and void.</w:t>
            </w:r>
          </w:p>
        </w:tc>
        <w:tc>
          <w:tcPr>
            <w:tcW w:w="0" w:type="auto"/>
            <w:hideMark/>
          </w:tcPr>
          <w:p w14:paraId="588856A4" w14:textId="77777777" w:rsidR="008C1242" w:rsidRPr="003832CB" w:rsidRDefault="008C1242" w:rsidP="004F0B6E">
            <w:pPr>
              <w:spacing w:before="120" w:after="120"/>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 Supports fair and competitive processes, but lacks an obligation for full online disclosure of awarded contracts.</w:t>
            </w:r>
          </w:p>
        </w:tc>
      </w:tr>
      <w:tr w:rsidR="008C1242" w:rsidRPr="003832CB" w14:paraId="4C36639B" w14:textId="77777777" w:rsidTr="008C1242">
        <w:tc>
          <w:tcPr>
            <w:tcW w:w="0" w:type="auto"/>
            <w:hideMark/>
          </w:tcPr>
          <w:p w14:paraId="5D8375FA" w14:textId="77777777" w:rsidR="008C1242" w:rsidRPr="003832CB" w:rsidRDefault="008C1242" w:rsidP="00C33FCF">
            <w:pPr>
              <w:spacing w:before="120" w:after="120"/>
              <w:jc w:val="both"/>
              <w:rPr>
                <w:rFonts w:ascii="Kohinoor Devanagari" w:hAnsi="Kohinoor Devanagari" w:cs="Kohinoor Devanagari"/>
                <w:sz w:val="20"/>
                <w:szCs w:val="20"/>
                <w:lang w:eastAsia="en-GB"/>
              </w:rPr>
            </w:pPr>
            <w:r w:rsidRPr="003832CB">
              <w:rPr>
                <w:rFonts w:ascii="Kohinoor Devanagari" w:hAnsi="Kohinoor Devanagari" w:cs="Kohinoor Devanagari"/>
                <w:b/>
                <w:bCs/>
                <w:sz w:val="20"/>
                <w:szCs w:val="20"/>
                <w:lang w:eastAsia="en-GB"/>
              </w:rPr>
              <w:t>Financial Transparency &amp; Reporting</w:t>
            </w:r>
          </w:p>
        </w:tc>
        <w:tc>
          <w:tcPr>
            <w:tcW w:w="0" w:type="auto"/>
            <w:hideMark/>
          </w:tcPr>
          <w:p w14:paraId="1751E2D2" w14:textId="77777777" w:rsidR="008C1242" w:rsidRPr="003832CB" w:rsidRDefault="008C1242" w:rsidP="00C33FCF">
            <w:pPr>
              <w:spacing w:before="120" w:after="120"/>
              <w:jc w:val="both"/>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Article 42</w:t>
            </w:r>
          </w:p>
        </w:tc>
        <w:tc>
          <w:tcPr>
            <w:tcW w:w="0" w:type="auto"/>
            <w:hideMark/>
          </w:tcPr>
          <w:p w14:paraId="5FD6F58B" w14:textId="77777777" w:rsidR="00965F2F" w:rsidRPr="003832CB" w:rsidRDefault="008C1242" w:rsidP="004F0B6E">
            <w:pPr>
              <w:spacing w:before="120" w:after="120"/>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 Mandates publication of petroleum revenues, taxes, and royalties above 1 billion Iraqi dinars.</w:t>
            </w:r>
          </w:p>
          <w:p w14:paraId="6E9159F9" w14:textId="77777777" w:rsidR="00965F2F" w:rsidRPr="003832CB" w:rsidRDefault="008C1242" w:rsidP="004F0B6E">
            <w:pPr>
              <w:spacing w:before="120" w:after="120"/>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 Requires disclosure of financially significant contracts and procurement agreements.</w:t>
            </w:r>
          </w:p>
          <w:p w14:paraId="3B775FEA" w14:textId="5935A176" w:rsidR="008C1242" w:rsidRPr="003832CB" w:rsidRDefault="008C1242" w:rsidP="004F0B6E">
            <w:pPr>
              <w:spacing w:before="120" w:after="120"/>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 License holders must submit audited financial reports.</w:t>
            </w:r>
          </w:p>
        </w:tc>
        <w:tc>
          <w:tcPr>
            <w:tcW w:w="0" w:type="auto"/>
            <w:hideMark/>
          </w:tcPr>
          <w:p w14:paraId="6DA774BD" w14:textId="43A08138" w:rsidR="008C1242" w:rsidRPr="003832CB" w:rsidRDefault="008C1242" w:rsidP="004F0B6E">
            <w:pPr>
              <w:spacing w:before="120" w:after="120"/>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 xml:space="preserve">- Enhances fiscal </w:t>
            </w:r>
            <w:r w:rsidR="004F0B6E" w:rsidRPr="003832CB">
              <w:rPr>
                <w:rFonts w:ascii="Kohinoor Devanagari" w:hAnsi="Kohinoor Devanagari" w:cs="Kohinoor Devanagari"/>
                <w:sz w:val="20"/>
                <w:szCs w:val="20"/>
                <w:lang w:eastAsia="en-GB"/>
              </w:rPr>
              <w:t>transparency but</w:t>
            </w:r>
            <w:r w:rsidRPr="003832CB">
              <w:rPr>
                <w:rFonts w:ascii="Kohinoor Devanagari" w:hAnsi="Kohinoor Devanagari" w:cs="Kohinoor Devanagari"/>
                <w:sz w:val="20"/>
                <w:szCs w:val="20"/>
                <w:lang w:eastAsia="en-GB"/>
              </w:rPr>
              <w:t xml:space="preserve"> lacks clear definitions for what qualifies as a “financially significant contract.”</w:t>
            </w:r>
          </w:p>
        </w:tc>
      </w:tr>
      <w:tr w:rsidR="008C1242" w:rsidRPr="00EC6462" w14:paraId="30E0CF63" w14:textId="77777777" w:rsidTr="008C1242">
        <w:tc>
          <w:tcPr>
            <w:tcW w:w="0" w:type="auto"/>
            <w:hideMark/>
          </w:tcPr>
          <w:p w14:paraId="5D980F58" w14:textId="77777777" w:rsidR="008C1242" w:rsidRPr="00EC6462" w:rsidRDefault="008C1242" w:rsidP="00C33FCF">
            <w:pPr>
              <w:spacing w:before="120" w:after="120"/>
              <w:jc w:val="both"/>
              <w:rPr>
                <w:rFonts w:ascii="Kohinoor Devanagari" w:hAnsi="Kohinoor Devanagari" w:cs="Kohinoor Devanagari"/>
                <w:sz w:val="20"/>
                <w:szCs w:val="20"/>
                <w:lang w:val="fr-FR" w:eastAsia="en-GB"/>
              </w:rPr>
            </w:pPr>
            <w:r w:rsidRPr="00EC6462">
              <w:rPr>
                <w:rFonts w:ascii="Kohinoor Devanagari" w:hAnsi="Kohinoor Devanagari" w:cs="Kohinoor Devanagari"/>
                <w:b/>
                <w:bCs/>
                <w:sz w:val="20"/>
                <w:szCs w:val="20"/>
                <w:lang w:val="fr-FR" w:eastAsia="en-GB"/>
              </w:rPr>
              <w:t>Anti-Corruption &amp; Compliance</w:t>
            </w:r>
          </w:p>
        </w:tc>
        <w:tc>
          <w:tcPr>
            <w:tcW w:w="0" w:type="auto"/>
            <w:hideMark/>
          </w:tcPr>
          <w:p w14:paraId="2D917B3C" w14:textId="77777777" w:rsidR="008C1242" w:rsidRPr="00EC6462" w:rsidRDefault="008C1242" w:rsidP="00C33FCF">
            <w:pPr>
              <w:spacing w:before="120" w:after="120"/>
              <w:jc w:val="both"/>
              <w:rPr>
                <w:rFonts w:ascii="Kohinoor Devanagari" w:hAnsi="Kohinoor Devanagari" w:cs="Kohinoor Devanagari"/>
                <w:sz w:val="20"/>
                <w:szCs w:val="20"/>
                <w:lang w:val="fr-FR" w:eastAsia="en-GB"/>
              </w:rPr>
            </w:pPr>
            <w:r w:rsidRPr="00EC6462">
              <w:rPr>
                <w:rFonts w:ascii="Kohinoor Devanagari" w:hAnsi="Kohinoor Devanagari" w:cs="Kohinoor Devanagari"/>
                <w:sz w:val="20"/>
                <w:szCs w:val="20"/>
                <w:lang w:val="fr-FR" w:eastAsia="en-GB"/>
              </w:rPr>
              <w:t>Article 45</w:t>
            </w:r>
          </w:p>
        </w:tc>
        <w:tc>
          <w:tcPr>
            <w:tcW w:w="0" w:type="auto"/>
            <w:hideMark/>
          </w:tcPr>
          <w:p w14:paraId="29855E97" w14:textId="77777777" w:rsidR="00965F2F" w:rsidRPr="00EC6462" w:rsidRDefault="008C1242" w:rsidP="004F0B6E">
            <w:pPr>
              <w:spacing w:before="120" w:after="12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xml:space="preserve">- License holders must comply with anti-corruption laws and international transparency standards. </w:t>
            </w:r>
          </w:p>
          <w:p w14:paraId="41318596" w14:textId="42F4198F" w:rsidR="008C1242" w:rsidRPr="00EC6462" w:rsidRDefault="008C1242" w:rsidP="004F0B6E">
            <w:pPr>
              <w:spacing w:before="120" w:after="12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Requires disclosure of key financial transactions.</w:t>
            </w:r>
          </w:p>
        </w:tc>
        <w:tc>
          <w:tcPr>
            <w:tcW w:w="0" w:type="auto"/>
            <w:hideMark/>
          </w:tcPr>
          <w:p w14:paraId="23DEAEB3" w14:textId="186B84E5" w:rsidR="008C1242" w:rsidRPr="00EC6462" w:rsidRDefault="008C1242" w:rsidP="004F0B6E">
            <w:pPr>
              <w:spacing w:before="120" w:after="120"/>
              <w:rPr>
                <w:rFonts w:ascii="Kohinoor Devanagari" w:hAnsi="Kohinoor Devanagari" w:cs="Kohinoor Devanagari"/>
                <w:sz w:val="20"/>
                <w:szCs w:val="20"/>
                <w:lang w:eastAsia="en-GB"/>
              </w:rPr>
            </w:pPr>
            <w:r w:rsidRPr="00EC6462">
              <w:rPr>
                <w:rFonts w:ascii="Kohinoor Devanagari" w:hAnsi="Kohinoor Devanagari" w:cs="Kohinoor Devanagari"/>
                <w:sz w:val="20"/>
                <w:szCs w:val="20"/>
                <w:lang w:eastAsia="en-GB"/>
              </w:rPr>
              <w:t>- Aligns with EITI’s anti-corruption principles but lacks strong enforcement mechanisms.</w:t>
            </w:r>
          </w:p>
        </w:tc>
      </w:tr>
    </w:tbl>
    <w:p w14:paraId="5803079B" w14:textId="77777777" w:rsidR="008C1242" w:rsidRPr="00A3573B" w:rsidRDefault="008C1242" w:rsidP="00FD2B68">
      <w:pPr>
        <w:pStyle w:val="ListParagraph"/>
        <w:numPr>
          <w:ilvl w:val="0"/>
          <w:numId w:val="7"/>
        </w:numPr>
        <w:spacing w:before="120" w:after="120" w:line="240" w:lineRule="auto"/>
        <w:jc w:val="both"/>
        <w:rPr>
          <w:rFonts w:ascii="Kohinoor Devanagari" w:hAnsi="Kohinoor Devanagari" w:cs="Kohinoor Devanagari"/>
          <w:b/>
          <w:bCs/>
          <w:i/>
          <w:iCs/>
          <w:sz w:val="22"/>
          <w:szCs w:val="22"/>
          <w:lang w:eastAsia="en-GB"/>
        </w:rPr>
      </w:pPr>
      <w:r w:rsidRPr="00A3573B">
        <w:rPr>
          <w:rFonts w:ascii="Kohinoor Devanagari" w:hAnsi="Kohinoor Devanagari" w:cs="Kohinoor Devanagari"/>
          <w:b/>
          <w:bCs/>
          <w:i/>
          <w:iCs/>
          <w:sz w:val="22"/>
          <w:szCs w:val="22"/>
          <w:lang w:eastAsia="en-GB"/>
        </w:rPr>
        <w:t>Challenges and Limitations</w:t>
      </w:r>
    </w:p>
    <w:p w14:paraId="0747A538" w14:textId="77777777" w:rsidR="008C1242" w:rsidRPr="00A3573B" w:rsidRDefault="008C1242"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Despite its transparency provisions, the law presents several barriers to systematic disclosure:</w:t>
      </w:r>
    </w:p>
    <w:p w14:paraId="3949AC0A" w14:textId="3AB3DC67" w:rsidR="005738AF" w:rsidRPr="00A3573B" w:rsidRDefault="005738AF" w:rsidP="00FD2B68">
      <w:pPr>
        <w:numPr>
          <w:ilvl w:val="0"/>
          <w:numId w:val="12"/>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This Law Remains a Draft</w:t>
      </w:r>
      <w:r w:rsidRPr="00A3573B">
        <w:rPr>
          <w:rFonts w:ascii="Kohinoor Devanagari" w:hAnsi="Kohinoor Devanagari" w:cs="Kohinoor Devanagari"/>
          <w:sz w:val="22"/>
          <w:szCs w:val="22"/>
          <w:lang w:eastAsia="en-GB"/>
        </w:rPr>
        <w:t>: As a proposed law, its implementation is uncertain, and delays or amendments could weaken transparency commitments.</w:t>
      </w:r>
    </w:p>
    <w:p w14:paraId="629A1C00" w14:textId="5017BA0F" w:rsidR="008C1242" w:rsidRPr="00A3573B" w:rsidRDefault="008C1242" w:rsidP="00FD2B68">
      <w:pPr>
        <w:numPr>
          <w:ilvl w:val="0"/>
          <w:numId w:val="12"/>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Data Ownership &amp; Access</w:t>
      </w:r>
      <w:r w:rsidRPr="00A3573B">
        <w:rPr>
          <w:rFonts w:ascii="Kohinoor Devanagari" w:hAnsi="Kohinoor Devanagari" w:cs="Kohinoor Devanagari"/>
          <w:sz w:val="22"/>
          <w:szCs w:val="22"/>
          <w:lang w:eastAsia="en-GB"/>
        </w:rPr>
        <w:t>: Requires prior approval for data publication, limiting real-time access to petroleum information.</w:t>
      </w:r>
    </w:p>
    <w:p w14:paraId="4D3110DA" w14:textId="77777777" w:rsidR="008C1242" w:rsidRPr="00A3573B" w:rsidRDefault="008C1242" w:rsidP="00FD2B68">
      <w:pPr>
        <w:numPr>
          <w:ilvl w:val="0"/>
          <w:numId w:val="12"/>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Undefined Financial Transparency Requirements</w:t>
      </w:r>
      <w:r w:rsidRPr="00A3573B">
        <w:rPr>
          <w:rFonts w:ascii="Kohinoor Devanagari" w:hAnsi="Kohinoor Devanagari" w:cs="Kohinoor Devanagari"/>
          <w:sz w:val="22"/>
          <w:szCs w:val="22"/>
          <w:lang w:eastAsia="en-GB"/>
        </w:rPr>
        <w:t>: The term "financially significant contracts" is vague, leaving room for discretionary non-disclosure.</w:t>
      </w:r>
    </w:p>
    <w:p w14:paraId="6E6067C4" w14:textId="77777777" w:rsidR="008C1242" w:rsidRPr="00A3573B" w:rsidRDefault="008C1242" w:rsidP="00FD2B68">
      <w:pPr>
        <w:numPr>
          <w:ilvl w:val="0"/>
          <w:numId w:val="12"/>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Lack of Mandatory Contract Disclosure</w:t>
      </w:r>
      <w:r w:rsidRPr="00A3573B">
        <w:rPr>
          <w:rFonts w:ascii="Kohinoor Devanagari" w:hAnsi="Kohinoor Devanagari" w:cs="Kohinoor Devanagari"/>
          <w:sz w:val="22"/>
          <w:szCs w:val="22"/>
          <w:lang w:eastAsia="en-GB"/>
        </w:rPr>
        <w:t>: While public tenders are required, there is no obligation to publish full contract details online.</w:t>
      </w:r>
    </w:p>
    <w:p w14:paraId="0379AB9D" w14:textId="77777777" w:rsidR="008C1242" w:rsidRPr="00A3573B" w:rsidRDefault="008C1242" w:rsidP="00FD2B68">
      <w:pPr>
        <w:numPr>
          <w:ilvl w:val="0"/>
          <w:numId w:val="12"/>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Weak Enforcement of Transparency Rules</w:t>
      </w:r>
      <w:r w:rsidRPr="00A3573B">
        <w:rPr>
          <w:rFonts w:ascii="Kohinoor Devanagari" w:hAnsi="Kohinoor Devanagari" w:cs="Kohinoor Devanagari"/>
          <w:sz w:val="22"/>
          <w:szCs w:val="22"/>
          <w:lang w:eastAsia="en-GB"/>
        </w:rPr>
        <w:t>: The law lacks sanctions for non-compliance, reducing accountability.</w:t>
      </w:r>
    </w:p>
    <w:p w14:paraId="3DC7029C" w14:textId="3F8263D5" w:rsidR="00A77335" w:rsidRPr="00A3573B" w:rsidRDefault="00AB2335" w:rsidP="00FD2B68">
      <w:pPr>
        <w:pStyle w:val="Heading3"/>
        <w:numPr>
          <w:ilvl w:val="2"/>
          <w:numId w:val="74"/>
        </w:numPr>
        <w:spacing w:before="120" w:after="120" w:line="240" w:lineRule="auto"/>
        <w:ind w:left="567" w:hanging="567"/>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Public Finance Guide (2013)</w:t>
      </w:r>
    </w:p>
    <w:p w14:paraId="2E857FBF" w14:textId="40F4A8BF" w:rsidR="00AB2335" w:rsidRPr="00A3573B" w:rsidRDefault="00E24A69"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 xml:space="preserve">The </w:t>
      </w:r>
      <w:r w:rsidRPr="00A3573B">
        <w:rPr>
          <w:rFonts w:ascii="Kohinoor Devanagari" w:hAnsi="Kohinoor Devanagari" w:cs="Kohinoor Devanagari"/>
          <w:b/>
          <w:bCs/>
          <w:sz w:val="22"/>
          <w:szCs w:val="22"/>
          <w:lang w:eastAsia="en-GB"/>
        </w:rPr>
        <w:t>2013 Public Finance Guide (</w:t>
      </w:r>
      <w:r w:rsidRPr="00A3573B">
        <w:rPr>
          <w:rFonts w:ascii="Times New Roman" w:hAnsi="Times New Roman" w:cs="Times New Roman" w:hint="cs"/>
          <w:b/>
          <w:bCs/>
          <w:sz w:val="22"/>
          <w:szCs w:val="22"/>
          <w:rtl/>
          <w:lang w:eastAsia="en-GB"/>
        </w:rPr>
        <w:t>الدليل</w:t>
      </w:r>
      <w:r w:rsidRPr="00A3573B">
        <w:rPr>
          <w:rFonts w:ascii="Kohinoor Devanagari" w:hAnsi="Kohinoor Devanagari" w:cs="Kohinoor Devanagari"/>
          <w:b/>
          <w:bCs/>
          <w:sz w:val="22"/>
          <w:szCs w:val="22"/>
          <w:rtl/>
          <w:lang w:eastAsia="en-GB"/>
        </w:rPr>
        <w:t xml:space="preserve"> </w:t>
      </w:r>
      <w:r w:rsidRPr="00A3573B">
        <w:rPr>
          <w:rFonts w:ascii="Times New Roman" w:hAnsi="Times New Roman" w:cs="Times New Roman" w:hint="cs"/>
          <w:b/>
          <w:bCs/>
          <w:sz w:val="22"/>
          <w:szCs w:val="22"/>
          <w:rtl/>
          <w:lang w:eastAsia="en-GB"/>
        </w:rPr>
        <w:t>المحاسبي</w:t>
      </w:r>
      <w:r w:rsidRPr="00A3573B">
        <w:rPr>
          <w:rFonts w:ascii="Kohinoor Devanagari" w:hAnsi="Kohinoor Devanagari" w:cs="Kohinoor Devanagari"/>
          <w:b/>
          <w:bCs/>
          <w:sz w:val="22"/>
          <w:szCs w:val="22"/>
          <w:rtl/>
          <w:lang w:eastAsia="en-GB"/>
        </w:rPr>
        <w:t xml:space="preserve"> 2013</w:t>
      </w:r>
      <w:r w:rsidRPr="00A3573B">
        <w:rPr>
          <w:rFonts w:ascii="Kohinoor Devanagari" w:hAnsi="Kohinoor Devanagari" w:cs="Kohinoor Devanagari"/>
          <w:b/>
          <w:bCs/>
          <w:sz w:val="22"/>
          <w:szCs w:val="22"/>
          <w:lang w:eastAsia="en-GB"/>
        </w:rPr>
        <w:t>)</w:t>
      </w:r>
      <w:r w:rsidRPr="00A3573B">
        <w:rPr>
          <w:rFonts w:ascii="Kohinoor Devanagari" w:hAnsi="Kohinoor Devanagari" w:cs="Kohinoor Devanagari"/>
          <w:sz w:val="22"/>
          <w:szCs w:val="22"/>
          <w:lang w:eastAsia="en-GB"/>
        </w:rPr>
        <w:t xml:space="preserve"> establishes the accounting and budgeting framework for Iraq’s public finances, including extractive sector revenues and expenditures. This section highlights key provisions relevant to systematic disclosure and identifies challenges and opportunities for enhanced transparency.</w:t>
      </w:r>
    </w:p>
    <w:p w14:paraId="7C8FCDEF" w14:textId="77777777" w:rsidR="00B47A1F" w:rsidRPr="00A3573B" w:rsidRDefault="00B47A1F" w:rsidP="00FD2B68">
      <w:pPr>
        <w:pStyle w:val="ListParagraph"/>
        <w:numPr>
          <w:ilvl w:val="0"/>
          <w:numId w:val="7"/>
        </w:numPr>
        <w:spacing w:before="120" w:after="120" w:line="240" w:lineRule="auto"/>
        <w:jc w:val="both"/>
        <w:rPr>
          <w:rFonts w:ascii="Kohinoor Devanagari" w:hAnsi="Kohinoor Devanagari" w:cs="Kohinoor Devanagari"/>
          <w:b/>
          <w:bCs/>
          <w:i/>
          <w:iCs/>
          <w:sz w:val="22"/>
          <w:szCs w:val="22"/>
          <w:lang w:eastAsia="en-GB"/>
        </w:rPr>
      </w:pPr>
      <w:r w:rsidRPr="00A3573B">
        <w:rPr>
          <w:rFonts w:ascii="Kohinoor Devanagari" w:hAnsi="Kohinoor Devanagari" w:cs="Kohinoor Devanagari"/>
          <w:b/>
          <w:bCs/>
          <w:i/>
          <w:iCs/>
          <w:sz w:val="22"/>
          <w:szCs w:val="22"/>
          <w:lang w:eastAsia="en-GB"/>
        </w:rPr>
        <w:t>Key Data Disclosure provisions</w:t>
      </w:r>
    </w:p>
    <w:tbl>
      <w:tblPr>
        <w:tblStyle w:val="TableGrid"/>
        <w:tblW w:w="0" w:type="auto"/>
        <w:tblBorders>
          <w:top w:val="single" w:sz="4" w:space="0" w:color="61BC4D"/>
          <w:left w:val="single" w:sz="4" w:space="0" w:color="61BC4D"/>
          <w:bottom w:val="single" w:sz="4" w:space="0" w:color="61BC4D"/>
          <w:right w:val="single" w:sz="4" w:space="0" w:color="61BC4D"/>
          <w:insideH w:val="single" w:sz="4" w:space="0" w:color="61BC4D"/>
          <w:insideV w:val="single" w:sz="4" w:space="0" w:color="61BC4D"/>
        </w:tblBorders>
        <w:tblLook w:val="04A0" w:firstRow="1" w:lastRow="0" w:firstColumn="1" w:lastColumn="0" w:noHBand="0" w:noVBand="1"/>
      </w:tblPr>
      <w:tblGrid>
        <w:gridCol w:w="2167"/>
        <w:gridCol w:w="1234"/>
        <w:gridCol w:w="3144"/>
        <w:gridCol w:w="2793"/>
      </w:tblGrid>
      <w:tr w:rsidR="00A50A2B" w:rsidRPr="003832CB" w14:paraId="7A8636F4" w14:textId="77777777" w:rsidTr="00EC6462">
        <w:trPr>
          <w:tblHeader/>
        </w:trPr>
        <w:tc>
          <w:tcPr>
            <w:tcW w:w="0" w:type="auto"/>
            <w:shd w:val="clear" w:color="auto" w:fill="748A96"/>
            <w:hideMark/>
          </w:tcPr>
          <w:p w14:paraId="491071BE" w14:textId="77777777" w:rsidR="00A50A2B" w:rsidRPr="003832CB" w:rsidRDefault="00A50A2B" w:rsidP="00C33FCF">
            <w:pPr>
              <w:spacing w:before="120" w:after="120"/>
              <w:jc w:val="both"/>
              <w:rPr>
                <w:rFonts w:ascii="Kohinoor Devanagari" w:hAnsi="Kohinoor Devanagari" w:cs="Kohinoor Devanagari"/>
                <w:b/>
                <w:bCs/>
                <w:color w:val="FFFFFF" w:themeColor="background1"/>
                <w:sz w:val="20"/>
                <w:szCs w:val="20"/>
                <w:lang w:eastAsia="en-GB"/>
              </w:rPr>
            </w:pPr>
            <w:r w:rsidRPr="003832CB">
              <w:rPr>
                <w:rFonts w:ascii="Kohinoor Devanagari" w:hAnsi="Kohinoor Devanagari" w:cs="Kohinoor Devanagari"/>
                <w:b/>
                <w:bCs/>
                <w:color w:val="FFFFFF" w:themeColor="background1"/>
                <w:sz w:val="20"/>
                <w:szCs w:val="20"/>
                <w:lang w:eastAsia="en-GB"/>
              </w:rPr>
              <w:t>Disclosure Area</w:t>
            </w:r>
          </w:p>
        </w:tc>
        <w:tc>
          <w:tcPr>
            <w:tcW w:w="0" w:type="auto"/>
            <w:shd w:val="clear" w:color="auto" w:fill="748A96"/>
            <w:hideMark/>
          </w:tcPr>
          <w:p w14:paraId="16E86D21" w14:textId="77777777" w:rsidR="00A50A2B" w:rsidRPr="003832CB" w:rsidRDefault="00A50A2B" w:rsidP="00C33FCF">
            <w:pPr>
              <w:spacing w:before="120" w:after="120"/>
              <w:jc w:val="both"/>
              <w:rPr>
                <w:rFonts w:ascii="Kohinoor Devanagari" w:hAnsi="Kohinoor Devanagari" w:cs="Kohinoor Devanagari"/>
                <w:b/>
                <w:bCs/>
                <w:color w:val="FFFFFF" w:themeColor="background1"/>
                <w:sz w:val="20"/>
                <w:szCs w:val="20"/>
                <w:lang w:eastAsia="en-GB"/>
              </w:rPr>
            </w:pPr>
            <w:r w:rsidRPr="003832CB">
              <w:rPr>
                <w:rFonts w:ascii="Kohinoor Devanagari" w:hAnsi="Kohinoor Devanagari" w:cs="Kohinoor Devanagari"/>
                <w:b/>
                <w:bCs/>
                <w:color w:val="FFFFFF" w:themeColor="background1"/>
                <w:sz w:val="20"/>
                <w:szCs w:val="20"/>
                <w:lang w:eastAsia="en-GB"/>
              </w:rPr>
              <w:t>Relevant Articles</w:t>
            </w:r>
          </w:p>
        </w:tc>
        <w:tc>
          <w:tcPr>
            <w:tcW w:w="0" w:type="auto"/>
            <w:shd w:val="clear" w:color="auto" w:fill="748A96"/>
            <w:hideMark/>
          </w:tcPr>
          <w:p w14:paraId="6DAF3C10" w14:textId="77777777" w:rsidR="00A50A2B" w:rsidRPr="003832CB" w:rsidRDefault="00A50A2B" w:rsidP="00C33FCF">
            <w:pPr>
              <w:spacing w:before="120" w:after="120"/>
              <w:jc w:val="both"/>
              <w:rPr>
                <w:rFonts w:ascii="Kohinoor Devanagari" w:hAnsi="Kohinoor Devanagari" w:cs="Kohinoor Devanagari"/>
                <w:b/>
                <w:bCs/>
                <w:color w:val="FFFFFF" w:themeColor="background1"/>
                <w:sz w:val="20"/>
                <w:szCs w:val="20"/>
                <w:lang w:eastAsia="en-GB"/>
              </w:rPr>
            </w:pPr>
            <w:r w:rsidRPr="003832CB">
              <w:rPr>
                <w:rFonts w:ascii="Kohinoor Devanagari" w:hAnsi="Kohinoor Devanagari" w:cs="Kohinoor Devanagari"/>
                <w:b/>
                <w:bCs/>
                <w:color w:val="FFFFFF" w:themeColor="background1"/>
                <w:sz w:val="20"/>
                <w:szCs w:val="20"/>
                <w:lang w:eastAsia="en-GB"/>
              </w:rPr>
              <w:t>Key Provisions</w:t>
            </w:r>
          </w:p>
        </w:tc>
        <w:tc>
          <w:tcPr>
            <w:tcW w:w="0" w:type="auto"/>
            <w:shd w:val="clear" w:color="auto" w:fill="748A96"/>
            <w:hideMark/>
          </w:tcPr>
          <w:p w14:paraId="76A0310A" w14:textId="77777777" w:rsidR="00A50A2B" w:rsidRPr="003832CB" w:rsidRDefault="00A50A2B" w:rsidP="00C33FCF">
            <w:pPr>
              <w:spacing w:before="120" w:after="120"/>
              <w:jc w:val="both"/>
              <w:rPr>
                <w:rFonts w:ascii="Kohinoor Devanagari" w:hAnsi="Kohinoor Devanagari" w:cs="Kohinoor Devanagari"/>
                <w:b/>
                <w:bCs/>
                <w:color w:val="FFFFFF" w:themeColor="background1"/>
                <w:sz w:val="20"/>
                <w:szCs w:val="20"/>
                <w:lang w:eastAsia="en-GB"/>
              </w:rPr>
            </w:pPr>
            <w:r w:rsidRPr="003832CB">
              <w:rPr>
                <w:rFonts w:ascii="Kohinoor Devanagari" w:hAnsi="Kohinoor Devanagari" w:cs="Kohinoor Devanagari"/>
                <w:b/>
                <w:bCs/>
                <w:color w:val="FFFFFF" w:themeColor="background1"/>
                <w:sz w:val="20"/>
                <w:szCs w:val="20"/>
                <w:lang w:eastAsia="en-GB"/>
              </w:rPr>
              <w:t>Implications for Systematic Disclosure</w:t>
            </w:r>
          </w:p>
        </w:tc>
      </w:tr>
      <w:tr w:rsidR="00A50A2B" w:rsidRPr="003832CB" w14:paraId="70DB1603" w14:textId="77777777" w:rsidTr="00B47A1F">
        <w:tc>
          <w:tcPr>
            <w:tcW w:w="0" w:type="auto"/>
            <w:hideMark/>
          </w:tcPr>
          <w:p w14:paraId="09F72541" w14:textId="77777777" w:rsidR="00A50A2B" w:rsidRPr="003832CB" w:rsidRDefault="00A50A2B" w:rsidP="00C33FCF">
            <w:pPr>
              <w:spacing w:before="120" w:after="120"/>
              <w:jc w:val="both"/>
              <w:rPr>
                <w:rFonts w:ascii="Kohinoor Devanagari" w:hAnsi="Kohinoor Devanagari" w:cs="Kohinoor Devanagari"/>
                <w:sz w:val="20"/>
                <w:szCs w:val="20"/>
                <w:lang w:eastAsia="en-GB"/>
              </w:rPr>
            </w:pPr>
            <w:r w:rsidRPr="003832CB">
              <w:rPr>
                <w:rFonts w:ascii="Kohinoor Devanagari" w:hAnsi="Kohinoor Devanagari" w:cs="Kohinoor Devanagari"/>
                <w:b/>
                <w:bCs/>
                <w:sz w:val="20"/>
                <w:szCs w:val="20"/>
                <w:lang w:eastAsia="en-GB"/>
              </w:rPr>
              <w:t>Revenue Accounting</w:t>
            </w:r>
          </w:p>
        </w:tc>
        <w:tc>
          <w:tcPr>
            <w:tcW w:w="0" w:type="auto"/>
            <w:hideMark/>
          </w:tcPr>
          <w:p w14:paraId="695CF6C4" w14:textId="77777777" w:rsidR="00A50A2B" w:rsidRPr="003832CB" w:rsidRDefault="00A50A2B" w:rsidP="00C33FCF">
            <w:pPr>
              <w:spacing w:before="120" w:after="120"/>
              <w:jc w:val="both"/>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Articles 11(A), 12(A)</w:t>
            </w:r>
          </w:p>
        </w:tc>
        <w:tc>
          <w:tcPr>
            <w:tcW w:w="0" w:type="auto"/>
            <w:hideMark/>
          </w:tcPr>
          <w:p w14:paraId="79E87ED7" w14:textId="77777777" w:rsidR="004F0B6E" w:rsidRPr="003832CB" w:rsidRDefault="00A50A2B" w:rsidP="004F0B6E">
            <w:pPr>
              <w:spacing w:before="120" w:after="120"/>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 xml:space="preserve">- Revenues from oil and minerals are recorded on a cash basis, meaning only received payments are accounted for. </w:t>
            </w:r>
          </w:p>
          <w:p w14:paraId="2E73BA56" w14:textId="377AB7C3" w:rsidR="00A50A2B" w:rsidRPr="003832CB" w:rsidRDefault="00A50A2B" w:rsidP="004F0B6E">
            <w:pPr>
              <w:spacing w:before="120" w:after="120"/>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- 95% of oil sales revenues go to the Development Fund for Iraq (DFI), and 5% to Kuwait war compensations.</w:t>
            </w:r>
          </w:p>
        </w:tc>
        <w:tc>
          <w:tcPr>
            <w:tcW w:w="0" w:type="auto"/>
            <w:hideMark/>
          </w:tcPr>
          <w:p w14:paraId="28C035C2" w14:textId="77777777" w:rsidR="00A50A2B" w:rsidRPr="003832CB" w:rsidRDefault="00A50A2B" w:rsidP="004F0B6E">
            <w:pPr>
              <w:spacing w:before="120" w:after="120"/>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 xml:space="preserve">- No visibility on pending payments or tax arrears, limiting transparency on actual revenue inflows. </w:t>
            </w:r>
            <w:r w:rsidRPr="003832CB">
              <w:rPr>
                <w:rFonts w:ascii="Kohinoor Devanagari" w:hAnsi="Kohinoor Devanagari" w:cs="Kohinoor Devanagari"/>
                <w:sz w:val="20"/>
                <w:szCs w:val="20"/>
                <w:lang w:eastAsia="en-GB"/>
              </w:rPr>
              <w:br/>
              <w:t>- Lack of disaggregation by company or project, making revenue tracking difficult.</w:t>
            </w:r>
          </w:p>
        </w:tc>
      </w:tr>
      <w:tr w:rsidR="00A50A2B" w:rsidRPr="003832CB" w14:paraId="3AAB6D4B" w14:textId="77777777" w:rsidTr="00B47A1F">
        <w:tc>
          <w:tcPr>
            <w:tcW w:w="0" w:type="auto"/>
            <w:hideMark/>
          </w:tcPr>
          <w:p w14:paraId="1FE85652" w14:textId="77777777" w:rsidR="00A50A2B" w:rsidRPr="003832CB" w:rsidRDefault="00A50A2B" w:rsidP="00BE1C69">
            <w:pPr>
              <w:spacing w:before="120" w:after="120"/>
              <w:rPr>
                <w:rFonts w:ascii="Kohinoor Devanagari" w:hAnsi="Kohinoor Devanagari" w:cs="Kohinoor Devanagari"/>
                <w:sz w:val="20"/>
                <w:szCs w:val="20"/>
                <w:lang w:eastAsia="en-GB"/>
              </w:rPr>
            </w:pPr>
            <w:r w:rsidRPr="003832CB">
              <w:rPr>
                <w:rFonts w:ascii="Kohinoor Devanagari" w:hAnsi="Kohinoor Devanagari" w:cs="Kohinoor Devanagari"/>
                <w:b/>
                <w:bCs/>
                <w:sz w:val="20"/>
                <w:szCs w:val="20"/>
                <w:lang w:eastAsia="en-GB"/>
              </w:rPr>
              <w:t>Tax &amp; Royalty Collection</w:t>
            </w:r>
          </w:p>
        </w:tc>
        <w:tc>
          <w:tcPr>
            <w:tcW w:w="0" w:type="auto"/>
            <w:hideMark/>
          </w:tcPr>
          <w:p w14:paraId="2F444A8D" w14:textId="77777777" w:rsidR="00A50A2B" w:rsidRPr="003832CB" w:rsidRDefault="00A50A2B" w:rsidP="00C33FCF">
            <w:pPr>
              <w:spacing w:before="120" w:after="120"/>
              <w:jc w:val="both"/>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Articles 1-7</w:t>
            </w:r>
          </w:p>
        </w:tc>
        <w:tc>
          <w:tcPr>
            <w:tcW w:w="0" w:type="auto"/>
            <w:hideMark/>
          </w:tcPr>
          <w:p w14:paraId="0E68C66F" w14:textId="77777777" w:rsidR="004F0B6E" w:rsidRPr="003832CB" w:rsidRDefault="00A50A2B" w:rsidP="004F0B6E">
            <w:pPr>
              <w:spacing w:before="120" w:after="120"/>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 xml:space="preserve">- Oil and mining taxes, royalties, and export fees are collected through the Central Bank and tax authorities. </w:t>
            </w:r>
          </w:p>
          <w:p w14:paraId="69ECD6FE" w14:textId="720D970D" w:rsidR="00A50A2B" w:rsidRPr="003832CB" w:rsidRDefault="00A50A2B" w:rsidP="004F0B6E">
            <w:pPr>
              <w:spacing w:before="120" w:after="120"/>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 Transactions are recorded only upon receipt.</w:t>
            </w:r>
          </w:p>
        </w:tc>
        <w:tc>
          <w:tcPr>
            <w:tcW w:w="0" w:type="auto"/>
            <w:hideMark/>
          </w:tcPr>
          <w:p w14:paraId="3E00AAF6" w14:textId="77777777" w:rsidR="00A50A2B" w:rsidRPr="003832CB" w:rsidRDefault="00A50A2B" w:rsidP="004F0B6E">
            <w:pPr>
              <w:spacing w:before="120" w:after="120"/>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 xml:space="preserve">- No public registry of payments by extractive companies, preventing traceability. </w:t>
            </w:r>
            <w:r w:rsidRPr="003832CB">
              <w:rPr>
                <w:rFonts w:ascii="Kohinoor Devanagari" w:hAnsi="Kohinoor Devanagari" w:cs="Kohinoor Devanagari"/>
                <w:sz w:val="20"/>
                <w:szCs w:val="20"/>
                <w:lang w:eastAsia="en-GB"/>
              </w:rPr>
              <w:br/>
              <w:t>- Aggregated data with no breakdown by revenue type or company, reducing transparency.</w:t>
            </w:r>
          </w:p>
        </w:tc>
      </w:tr>
      <w:tr w:rsidR="00A50A2B" w:rsidRPr="003832CB" w14:paraId="7AA368D0" w14:textId="77777777" w:rsidTr="00B47A1F">
        <w:tc>
          <w:tcPr>
            <w:tcW w:w="0" w:type="auto"/>
            <w:hideMark/>
          </w:tcPr>
          <w:p w14:paraId="5D8CAC7D" w14:textId="77777777" w:rsidR="00A50A2B" w:rsidRPr="003832CB" w:rsidRDefault="00A50A2B" w:rsidP="00BE1C69">
            <w:pPr>
              <w:spacing w:before="120" w:after="120"/>
              <w:rPr>
                <w:rFonts w:ascii="Kohinoor Devanagari" w:hAnsi="Kohinoor Devanagari" w:cs="Kohinoor Devanagari"/>
                <w:sz w:val="20"/>
                <w:szCs w:val="20"/>
                <w:lang w:eastAsia="en-GB"/>
              </w:rPr>
            </w:pPr>
            <w:r w:rsidRPr="003832CB">
              <w:rPr>
                <w:rFonts w:ascii="Kohinoor Devanagari" w:hAnsi="Kohinoor Devanagari" w:cs="Kohinoor Devanagari"/>
                <w:b/>
                <w:bCs/>
                <w:sz w:val="20"/>
                <w:szCs w:val="20"/>
                <w:lang w:eastAsia="en-GB"/>
              </w:rPr>
              <w:t>Budget Allocation of Extractive Revenues</w:t>
            </w:r>
          </w:p>
        </w:tc>
        <w:tc>
          <w:tcPr>
            <w:tcW w:w="0" w:type="auto"/>
            <w:hideMark/>
          </w:tcPr>
          <w:p w14:paraId="78C213DE" w14:textId="77777777" w:rsidR="00A50A2B" w:rsidRPr="003832CB" w:rsidRDefault="00A50A2B" w:rsidP="00C33FCF">
            <w:pPr>
              <w:spacing w:before="120" w:after="120"/>
              <w:jc w:val="both"/>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Articles 42, 45</w:t>
            </w:r>
          </w:p>
        </w:tc>
        <w:tc>
          <w:tcPr>
            <w:tcW w:w="0" w:type="auto"/>
            <w:hideMark/>
          </w:tcPr>
          <w:p w14:paraId="47CBE7DA" w14:textId="77777777" w:rsidR="004F0B6E" w:rsidRPr="003832CB" w:rsidRDefault="00A50A2B" w:rsidP="004F0B6E">
            <w:pPr>
              <w:spacing w:before="120" w:after="120"/>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 xml:space="preserve">- Extractive revenues are transferred to the general budget, with no earmarking for specific projects. </w:t>
            </w:r>
          </w:p>
          <w:p w14:paraId="48813165" w14:textId="0E615A25" w:rsidR="00A50A2B" w:rsidRPr="003832CB" w:rsidRDefault="00A50A2B" w:rsidP="004F0B6E">
            <w:pPr>
              <w:spacing w:before="120" w:after="120"/>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 No legal requirement to track how extractive revenues are spent.</w:t>
            </w:r>
          </w:p>
        </w:tc>
        <w:tc>
          <w:tcPr>
            <w:tcW w:w="0" w:type="auto"/>
            <w:hideMark/>
          </w:tcPr>
          <w:p w14:paraId="1F50D260" w14:textId="77777777" w:rsidR="00A50A2B" w:rsidRPr="003832CB" w:rsidRDefault="00A50A2B" w:rsidP="004F0B6E">
            <w:pPr>
              <w:spacing w:before="120" w:after="120"/>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 xml:space="preserve">- Unclear link between extractive revenues and public expenditures, reducing accountability. </w:t>
            </w:r>
            <w:r w:rsidRPr="003832CB">
              <w:rPr>
                <w:rFonts w:ascii="Kohinoor Devanagari" w:hAnsi="Kohinoor Devanagari" w:cs="Kohinoor Devanagari"/>
                <w:sz w:val="20"/>
                <w:szCs w:val="20"/>
                <w:lang w:eastAsia="en-GB"/>
              </w:rPr>
              <w:br/>
              <w:t>- No obligation to publish a detailed allocation report on extractive revenues.</w:t>
            </w:r>
          </w:p>
        </w:tc>
      </w:tr>
      <w:tr w:rsidR="00A50A2B" w:rsidRPr="003832CB" w14:paraId="7E9987AA" w14:textId="77777777" w:rsidTr="00B47A1F">
        <w:tc>
          <w:tcPr>
            <w:tcW w:w="0" w:type="auto"/>
            <w:hideMark/>
          </w:tcPr>
          <w:p w14:paraId="059F19CF" w14:textId="77777777" w:rsidR="00A50A2B" w:rsidRPr="003832CB" w:rsidRDefault="00A50A2B" w:rsidP="00C33FCF">
            <w:pPr>
              <w:spacing w:before="120" w:after="120"/>
              <w:jc w:val="both"/>
              <w:rPr>
                <w:rFonts w:ascii="Kohinoor Devanagari" w:hAnsi="Kohinoor Devanagari" w:cs="Kohinoor Devanagari"/>
                <w:sz w:val="20"/>
                <w:szCs w:val="20"/>
                <w:lang w:eastAsia="en-GB"/>
              </w:rPr>
            </w:pPr>
            <w:r w:rsidRPr="003832CB">
              <w:rPr>
                <w:rFonts w:ascii="Kohinoor Devanagari" w:hAnsi="Kohinoor Devanagari" w:cs="Kohinoor Devanagari"/>
                <w:b/>
                <w:bCs/>
                <w:sz w:val="20"/>
                <w:szCs w:val="20"/>
                <w:lang w:eastAsia="en-GB"/>
              </w:rPr>
              <w:t>Public Expenditures &amp; Investments in the Extractive Sector</w:t>
            </w:r>
          </w:p>
        </w:tc>
        <w:tc>
          <w:tcPr>
            <w:tcW w:w="0" w:type="auto"/>
            <w:hideMark/>
          </w:tcPr>
          <w:p w14:paraId="43ADBBC4" w14:textId="77777777" w:rsidR="00A50A2B" w:rsidRPr="003832CB" w:rsidRDefault="00A50A2B" w:rsidP="00C33FCF">
            <w:pPr>
              <w:spacing w:before="120" w:after="120"/>
              <w:jc w:val="both"/>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Articles 2-6</w:t>
            </w:r>
          </w:p>
        </w:tc>
        <w:tc>
          <w:tcPr>
            <w:tcW w:w="0" w:type="auto"/>
            <w:hideMark/>
          </w:tcPr>
          <w:p w14:paraId="7B09366D" w14:textId="77777777" w:rsidR="00A50A2B" w:rsidRPr="003832CB" w:rsidRDefault="00A50A2B" w:rsidP="004F0B6E">
            <w:pPr>
              <w:spacing w:before="120" w:after="120"/>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 xml:space="preserve">- Infrastructure and energy projects are recorded under capital expenditures. </w:t>
            </w:r>
            <w:r w:rsidRPr="003832CB">
              <w:rPr>
                <w:rFonts w:ascii="Kohinoor Devanagari" w:hAnsi="Kohinoor Devanagari" w:cs="Kohinoor Devanagari"/>
                <w:sz w:val="20"/>
                <w:szCs w:val="20"/>
                <w:lang w:eastAsia="en-GB"/>
              </w:rPr>
              <w:br/>
              <w:t>- No requirement to publish details of state subsidies to extractive SOEs.</w:t>
            </w:r>
          </w:p>
        </w:tc>
        <w:tc>
          <w:tcPr>
            <w:tcW w:w="0" w:type="auto"/>
            <w:hideMark/>
          </w:tcPr>
          <w:p w14:paraId="2B79E6D7" w14:textId="77777777" w:rsidR="00A50A2B" w:rsidRPr="003832CB" w:rsidRDefault="00A50A2B" w:rsidP="004F0B6E">
            <w:pPr>
              <w:spacing w:before="120" w:after="120"/>
              <w:rPr>
                <w:rFonts w:ascii="Kohinoor Devanagari" w:hAnsi="Kohinoor Devanagari" w:cs="Kohinoor Devanagari"/>
                <w:sz w:val="20"/>
                <w:szCs w:val="20"/>
                <w:lang w:eastAsia="en-GB"/>
              </w:rPr>
            </w:pPr>
            <w:r w:rsidRPr="003832CB">
              <w:rPr>
                <w:rFonts w:ascii="Kohinoor Devanagari" w:hAnsi="Kohinoor Devanagari" w:cs="Kohinoor Devanagari"/>
                <w:sz w:val="20"/>
                <w:szCs w:val="20"/>
                <w:lang w:eastAsia="en-GB"/>
              </w:rPr>
              <w:t xml:space="preserve">- Limited transparency on state subsidies and financial flows to SOEs. </w:t>
            </w:r>
            <w:r w:rsidRPr="003832CB">
              <w:rPr>
                <w:rFonts w:ascii="Kohinoor Devanagari" w:hAnsi="Kohinoor Devanagari" w:cs="Kohinoor Devanagari"/>
                <w:sz w:val="20"/>
                <w:szCs w:val="20"/>
                <w:lang w:eastAsia="en-GB"/>
              </w:rPr>
              <w:br/>
              <w:t>- Lack of reporting on quasi-fiscal expenditures, leading to off-budget risks.</w:t>
            </w:r>
          </w:p>
        </w:tc>
      </w:tr>
    </w:tbl>
    <w:p w14:paraId="1B803F66" w14:textId="77777777" w:rsidR="00B47A1F" w:rsidRPr="00A3573B" w:rsidRDefault="00B47A1F" w:rsidP="00FD2B68">
      <w:pPr>
        <w:pStyle w:val="ListParagraph"/>
        <w:numPr>
          <w:ilvl w:val="0"/>
          <w:numId w:val="7"/>
        </w:numPr>
        <w:spacing w:before="120" w:after="120" w:line="240" w:lineRule="auto"/>
        <w:jc w:val="both"/>
        <w:rPr>
          <w:rFonts w:ascii="Kohinoor Devanagari" w:hAnsi="Kohinoor Devanagari" w:cs="Kohinoor Devanagari"/>
          <w:b/>
          <w:bCs/>
          <w:i/>
          <w:iCs/>
          <w:sz w:val="22"/>
          <w:szCs w:val="22"/>
          <w:lang w:eastAsia="en-GB"/>
        </w:rPr>
      </w:pPr>
      <w:r w:rsidRPr="00A3573B">
        <w:rPr>
          <w:rFonts w:ascii="Kohinoor Devanagari" w:hAnsi="Kohinoor Devanagari" w:cs="Kohinoor Devanagari"/>
          <w:b/>
          <w:bCs/>
          <w:i/>
          <w:iCs/>
          <w:sz w:val="22"/>
          <w:szCs w:val="22"/>
          <w:lang w:eastAsia="en-GB"/>
        </w:rPr>
        <w:t>Challenges and Limitations</w:t>
      </w:r>
    </w:p>
    <w:p w14:paraId="5408A95F" w14:textId="77777777" w:rsidR="00A50A2B" w:rsidRPr="00A3573B" w:rsidRDefault="00A50A2B"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Despite existing transparency mechanisms, several gaps hinder the implementation of systematic disclosure in Iraq’s extractive sector:</w:t>
      </w:r>
    </w:p>
    <w:p w14:paraId="70B2B2C3" w14:textId="0602412D" w:rsidR="00A50A2B" w:rsidRPr="004F0B6E" w:rsidRDefault="00A50A2B" w:rsidP="00FD2B68">
      <w:pPr>
        <w:numPr>
          <w:ilvl w:val="0"/>
          <w:numId w:val="12"/>
        </w:numPr>
        <w:spacing w:before="120" w:after="120" w:line="240" w:lineRule="auto"/>
        <w:jc w:val="both"/>
        <w:rPr>
          <w:rFonts w:ascii="Kohinoor Devanagari" w:hAnsi="Kohinoor Devanagari" w:cs="Kohinoor Devanagari"/>
          <w:sz w:val="22"/>
          <w:szCs w:val="22"/>
          <w:lang w:eastAsia="en-GB"/>
        </w:rPr>
      </w:pPr>
      <w:r w:rsidRPr="004F0B6E">
        <w:rPr>
          <w:rFonts w:ascii="Kohinoor Devanagari" w:hAnsi="Kohinoor Devanagari" w:cs="Kohinoor Devanagari"/>
          <w:sz w:val="22"/>
          <w:szCs w:val="22"/>
          <w:lang w:eastAsia="en-GB"/>
        </w:rPr>
        <w:t>Cash-Based Accounting Limits Visibility</w:t>
      </w:r>
      <w:r w:rsidR="000D0770" w:rsidRPr="004F0B6E">
        <w:rPr>
          <w:rFonts w:ascii="Kohinoor Devanagari" w:hAnsi="Kohinoor Devanagari" w:cs="Kohinoor Devanagari"/>
          <w:sz w:val="22"/>
          <w:szCs w:val="22"/>
          <w:lang w:eastAsia="en-GB"/>
        </w:rPr>
        <w:t xml:space="preserve">: </w:t>
      </w:r>
      <w:r w:rsidRPr="004F0B6E">
        <w:rPr>
          <w:rFonts w:ascii="Kohinoor Devanagari" w:hAnsi="Kohinoor Devanagari" w:cs="Kohinoor Devanagari"/>
          <w:sz w:val="22"/>
          <w:szCs w:val="22"/>
          <w:lang w:eastAsia="en-GB"/>
        </w:rPr>
        <w:t>Unpaid revenues, tax arrears,</w:t>
      </w:r>
      <w:r w:rsidR="000D0770" w:rsidRPr="004F0B6E">
        <w:rPr>
          <w:rFonts w:ascii="Kohinoor Devanagari" w:hAnsi="Kohinoor Devanagari" w:cs="Kohinoor Devanagari"/>
          <w:sz w:val="22"/>
          <w:szCs w:val="22"/>
          <w:lang w:eastAsia="en-GB"/>
        </w:rPr>
        <w:t xml:space="preserve"> SWAP</w:t>
      </w:r>
      <w:r w:rsidRPr="004F0B6E">
        <w:rPr>
          <w:rFonts w:ascii="Kohinoor Devanagari" w:hAnsi="Kohinoor Devanagari" w:cs="Kohinoor Devanagari"/>
          <w:sz w:val="22"/>
          <w:szCs w:val="22"/>
          <w:lang w:eastAsia="en-GB"/>
        </w:rPr>
        <w:t xml:space="preserve"> and deferred payments are not recorded, creating financial blind spots.</w:t>
      </w:r>
    </w:p>
    <w:p w14:paraId="3558154E" w14:textId="45509D64" w:rsidR="00A50A2B" w:rsidRPr="004F0B6E" w:rsidRDefault="00A50A2B" w:rsidP="00FD2B68">
      <w:pPr>
        <w:numPr>
          <w:ilvl w:val="0"/>
          <w:numId w:val="12"/>
        </w:numPr>
        <w:spacing w:before="120" w:after="120" w:line="240" w:lineRule="auto"/>
        <w:jc w:val="both"/>
        <w:rPr>
          <w:rFonts w:ascii="Kohinoor Devanagari" w:hAnsi="Kohinoor Devanagari" w:cs="Kohinoor Devanagari"/>
          <w:sz w:val="22"/>
          <w:szCs w:val="22"/>
          <w:lang w:eastAsia="en-GB"/>
        </w:rPr>
      </w:pPr>
      <w:r w:rsidRPr="004F0B6E">
        <w:rPr>
          <w:rFonts w:ascii="Kohinoor Devanagari" w:hAnsi="Kohinoor Devanagari" w:cs="Kohinoor Devanagari"/>
          <w:sz w:val="22"/>
          <w:szCs w:val="22"/>
          <w:lang w:eastAsia="en-GB"/>
        </w:rPr>
        <w:t>Lack of Disaggregated Revenue Reporting</w:t>
      </w:r>
      <w:r w:rsidR="000D0770" w:rsidRPr="004F0B6E">
        <w:rPr>
          <w:rFonts w:ascii="Kohinoor Devanagari" w:hAnsi="Kohinoor Devanagari" w:cs="Kohinoor Devanagari"/>
          <w:sz w:val="22"/>
          <w:szCs w:val="22"/>
          <w:lang w:eastAsia="en-GB"/>
        </w:rPr>
        <w:t xml:space="preserve">: </w:t>
      </w:r>
      <w:r w:rsidRPr="004F0B6E">
        <w:rPr>
          <w:rFonts w:ascii="Kohinoor Devanagari" w:hAnsi="Kohinoor Devanagari" w:cs="Kohinoor Devanagari"/>
          <w:sz w:val="22"/>
          <w:szCs w:val="22"/>
          <w:lang w:eastAsia="en-GB"/>
        </w:rPr>
        <w:t>All revenues are consolidated, with no breakdown by company, project, or revenue type.</w:t>
      </w:r>
    </w:p>
    <w:p w14:paraId="5D4C20A2" w14:textId="6ACD8F60" w:rsidR="00A50A2B" w:rsidRPr="004F0B6E" w:rsidRDefault="00A50A2B" w:rsidP="00FD2B68">
      <w:pPr>
        <w:numPr>
          <w:ilvl w:val="0"/>
          <w:numId w:val="12"/>
        </w:numPr>
        <w:spacing w:before="120" w:after="120" w:line="240" w:lineRule="auto"/>
        <w:jc w:val="both"/>
        <w:rPr>
          <w:rFonts w:ascii="Kohinoor Devanagari" w:hAnsi="Kohinoor Devanagari" w:cs="Kohinoor Devanagari"/>
          <w:sz w:val="22"/>
          <w:szCs w:val="22"/>
          <w:lang w:eastAsia="en-GB"/>
        </w:rPr>
      </w:pPr>
      <w:r w:rsidRPr="004F0B6E">
        <w:rPr>
          <w:rFonts w:ascii="Kohinoor Devanagari" w:hAnsi="Kohinoor Devanagari" w:cs="Kohinoor Devanagari"/>
          <w:sz w:val="22"/>
          <w:szCs w:val="22"/>
          <w:lang w:eastAsia="en-GB"/>
        </w:rPr>
        <w:t>Limited Transparency in Revenue Utilization</w:t>
      </w:r>
      <w:r w:rsidR="00FE4211" w:rsidRPr="004F0B6E">
        <w:rPr>
          <w:rFonts w:ascii="Kohinoor Devanagari" w:hAnsi="Kohinoor Devanagari" w:cs="Kohinoor Devanagari"/>
          <w:sz w:val="22"/>
          <w:szCs w:val="22"/>
          <w:lang w:eastAsia="en-GB"/>
        </w:rPr>
        <w:t xml:space="preserve">: </w:t>
      </w:r>
      <w:r w:rsidRPr="004F0B6E">
        <w:rPr>
          <w:rFonts w:ascii="Kohinoor Devanagari" w:hAnsi="Kohinoor Devanagari" w:cs="Kohinoor Devanagari"/>
          <w:sz w:val="22"/>
          <w:szCs w:val="22"/>
          <w:lang w:eastAsia="en-GB"/>
        </w:rPr>
        <w:t>Extractive revenues enter the general budget with no specific reporting on their use.</w:t>
      </w:r>
    </w:p>
    <w:p w14:paraId="3AC6F6C0" w14:textId="77777777" w:rsidR="0075699B" w:rsidRPr="004F0B6E" w:rsidRDefault="0075699B" w:rsidP="00FD2B68">
      <w:pPr>
        <w:numPr>
          <w:ilvl w:val="0"/>
          <w:numId w:val="12"/>
        </w:numPr>
        <w:spacing w:before="120" w:after="120" w:line="240" w:lineRule="auto"/>
        <w:jc w:val="both"/>
        <w:rPr>
          <w:rFonts w:ascii="Kohinoor Devanagari" w:hAnsi="Kohinoor Devanagari" w:cs="Kohinoor Devanagari"/>
          <w:sz w:val="22"/>
          <w:szCs w:val="22"/>
          <w:lang w:eastAsia="en-GB"/>
        </w:rPr>
      </w:pPr>
      <w:r w:rsidRPr="004F0B6E">
        <w:rPr>
          <w:rFonts w:ascii="Kohinoor Devanagari" w:hAnsi="Kohinoor Devanagari" w:cs="Kohinoor Devanagari"/>
          <w:sz w:val="22"/>
          <w:szCs w:val="22"/>
          <w:lang w:eastAsia="en-GB"/>
        </w:rPr>
        <w:t>No public oversight of quasi-fiscal expenditures, raising off-budget spending concerns.</w:t>
      </w:r>
    </w:p>
    <w:p w14:paraId="4C8CC6C2" w14:textId="77777777" w:rsidR="00A50A2B" w:rsidRPr="004F0B6E" w:rsidRDefault="00A50A2B" w:rsidP="00FD2B68">
      <w:pPr>
        <w:numPr>
          <w:ilvl w:val="0"/>
          <w:numId w:val="13"/>
        </w:numPr>
        <w:spacing w:before="120" w:after="120" w:line="240" w:lineRule="auto"/>
        <w:jc w:val="both"/>
        <w:rPr>
          <w:rFonts w:ascii="Kohinoor Devanagari" w:hAnsi="Kohinoor Devanagari" w:cs="Kohinoor Devanagari"/>
          <w:sz w:val="22"/>
          <w:szCs w:val="22"/>
          <w:lang w:eastAsia="en-GB"/>
        </w:rPr>
      </w:pPr>
      <w:r w:rsidRPr="004F0B6E">
        <w:rPr>
          <w:rFonts w:ascii="Kohinoor Devanagari" w:hAnsi="Kohinoor Devanagari" w:cs="Kohinoor Devanagari"/>
          <w:sz w:val="22"/>
          <w:szCs w:val="22"/>
          <w:lang w:eastAsia="en-GB"/>
        </w:rPr>
        <w:t>No obligation to track or report subnational revenue transfers.</w:t>
      </w:r>
    </w:p>
    <w:p w14:paraId="4B2F676F" w14:textId="29997F62" w:rsidR="00A50A2B" w:rsidRPr="00D44DD7" w:rsidRDefault="00A50A2B" w:rsidP="00C52386">
      <w:pPr>
        <w:numPr>
          <w:ilvl w:val="0"/>
          <w:numId w:val="13"/>
        </w:numPr>
        <w:spacing w:before="120" w:after="120" w:line="240" w:lineRule="auto"/>
        <w:jc w:val="both"/>
        <w:rPr>
          <w:rFonts w:ascii="Kohinoor Devanagari" w:hAnsi="Kohinoor Devanagari" w:cs="Kohinoor Devanagari"/>
          <w:sz w:val="22"/>
          <w:szCs w:val="22"/>
          <w:lang w:eastAsia="en-GB"/>
        </w:rPr>
      </w:pPr>
      <w:r w:rsidRPr="004F0B6E">
        <w:rPr>
          <w:rFonts w:ascii="Kohinoor Devanagari" w:hAnsi="Kohinoor Devanagari" w:cs="Kohinoor Devanagari"/>
          <w:sz w:val="22"/>
          <w:szCs w:val="22"/>
          <w:lang w:eastAsia="en-GB"/>
        </w:rPr>
        <w:t>SOEs' financial transactions with the state are not systematically reported.</w:t>
      </w:r>
    </w:p>
    <w:p w14:paraId="589FC717" w14:textId="1BE3023A" w:rsidR="007901AF" w:rsidRPr="00A3573B" w:rsidRDefault="000E330A" w:rsidP="00FD2B68">
      <w:pPr>
        <w:pStyle w:val="Heading2"/>
        <w:numPr>
          <w:ilvl w:val="1"/>
          <w:numId w:val="74"/>
        </w:numPr>
        <w:tabs>
          <w:tab w:val="left" w:pos="426"/>
        </w:tabs>
        <w:spacing w:before="120" w:after="120" w:line="240" w:lineRule="auto"/>
        <w:jc w:val="both"/>
        <w:rPr>
          <w:rFonts w:ascii="Kohinoor Devanagari" w:hAnsi="Kohinoor Devanagari" w:cs="Kohinoor Devanagari"/>
          <w:b/>
          <w:bCs/>
          <w:sz w:val="22"/>
          <w:szCs w:val="22"/>
        </w:rPr>
      </w:pPr>
      <w:bookmarkStart w:id="10" w:name="_Toc194240154"/>
      <w:r w:rsidRPr="00A3573B">
        <w:rPr>
          <w:rFonts w:ascii="Kohinoor Devanagari" w:hAnsi="Kohinoor Devanagari" w:cs="Kohinoor Devanagari"/>
          <w:b/>
          <w:bCs/>
          <w:sz w:val="22"/>
          <w:szCs w:val="22"/>
        </w:rPr>
        <w:t>Institutional and Policy Framework</w:t>
      </w:r>
      <w:bookmarkEnd w:id="10"/>
    </w:p>
    <w:p w14:paraId="3DF2B7D1" w14:textId="6745534D" w:rsidR="000E330A" w:rsidRPr="00A3573B" w:rsidRDefault="00D57DA6" w:rsidP="00C33FCF">
      <w:p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sz w:val="22"/>
          <w:szCs w:val="22"/>
        </w:rPr>
        <w:t>The governance and transparency of Iraq’s extractive sector rely on a network of key institutions responsible for regulation, revenue management, financial reporting, and EITI implementation. This section outlines the main actors and their roles in ensuring the disclosure and oversight of extractive sector data.</w:t>
      </w:r>
    </w:p>
    <w:p w14:paraId="60C1CB1C" w14:textId="4890654D" w:rsidR="00D57DA6" w:rsidRPr="00A3573B" w:rsidRDefault="00F8551D" w:rsidP="00FD2B68">
      <w:pPr>
        <w:pStyle w:val="Heading3"/>
        <w:numPr>
          <w:ilvl w:val="2"/>
          <w:numId w:val="74"/>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Ministry of Oil (</w:t>
      </w:r>
      <w:proofErr w:type="spellStart"/>
      <w:r w:rsidRPr="00A3573B">
        <w:rPr>
          <w:rFonts w:ascii="Kohinoor Devanagari" w:hAnsi="Kohinoor Devanagari" w:cs="Kohinoor Devanagari"/>
          <w:b/>
          <w:bCs/>
          <w:sz w:val="22"/>
          <w:szCs w:val="22"/>
          <w:lang w:eastAsia="en-GB"/>
        </w:rPr>
        <w:t>MoO</w:t>
      </w:r>
      <w:proofErr w:type="spellEnd"/>
      <w:r w:rsidRPr="00A3573B">
        <w:rPr>
          <w:rFonts w:ascii="Kohinoor Devanagari" w:hAnsi="Kohinoor Devanagari" w:cs="Kohinoor Devanagari"/>
          <w:b/>
          <w:bCs/>
          <w:sz w:val="22"/>
          <w:szCs w:val="22"/>
          <w:lang w:eastAsia="en-GB"/>
        </w:rPr>
        <w:t>)</w:t>
      </w:r>
    </w:p>
    <w:p w14:paraId="0649821F" w14:textId="77777777" w:rsidR="00F8551D" w:rsidRPr="00A3573B" w:rsidRDefault="00F8551D"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The Ministry of Oil (</w:t>
      </w:r>
      <w:proofErr w:type="spellStart"/>
      <w:r w:rsidRPr="00A3573B">
        <w:rPr>
          <w:rFonts w:ascii="Kohinoor Devanagari" w:hAnsi="Kohinoor Devanagari" w:cs="Kohinoor Devanagari"/>
          <w:sz w:val="22"/>
          <w:szCs w:val="22"/>
          <w:lang w:eastAsia="en-GB"/>
        </w:rPr>
        <w:t>MoO</w:t>
      </w:r>
      <w:proofErr w:type="spellEnd"/>
      <w:r w:rsidRPr="00A3573B">
        <w:rPr>
          <w:rFonts w:ascii="Kohinoor Devanagari" w:hAnsi="Kohinoor Devanagari" w:cs="Kohinoor Devanagari"/>
          <w:sz w:val="22"/>
          <w:szCs w:val="22"/>
          <w:lang w:eastAsia="en-GB"/>
        </w:rPr>
        <w:t>) is the primary regulatory body overseeing Iraq’s oil and gas sector. It plays a central role in policy formulation, licensing, production oversight, and data collection.</w:t>
      </w:r>
    </w:p>
    <w:p w14:paraId="4D119E20" w14:textId="69E71F63" w:rsidR="00F8551D" w:rsidRPr="00DA19D1" w:rsidRDefault="00F8551D" w:rsidP="00FD2B68">
      <w:pPr>
        <w:pStyle w:val="ListParagraph"/>
        <w:numPr>
          <w:ilvl w:val="0"/>
          <w:numId w:val="19"/>
        </w:numPr>
        <w:spacing w:before="120" w:after="120" w:line="240" w:lineRule="auto"/>
        <w:ind w:left="426" w:hanging="284"/>
        <w:jc w:val="both"/>
        <w:rPr>
          <w:rFonts w:ascii="Kohinoor Devanagari" w:hAnsi="Kohinoor Devanagari" w:cs="Kohinoor Devanagari"/>
          <w:sz w:val="22"/>
          <w:szCs w:val="22"/>
          <w:lang w:eastAsia="en-GB"/>
        </w:rPr>
      </w:pPr>
      <w:r w:rsidRPr="00DA19D1">
        <w:rPr>
          <w:rFonts w:ascii="Kohinoor Devanagari" w:hAnsi="Kohinoor Devanagari" w:cs="Kohinoor Devanagari"/>
          <w:b/>
          <w:bCs/>
          <w:sz w:val="22"/>
          <w:szCs w:val="22"/>
          <w:lang w:eastAsia="en-GB"/>
        </w:rPr>
        <w:t>Key Responsibilities:</w:t>
      </w:r>
    </w:p>
    <w:p w14:paraId="37EC1AAD" w14:textId="77777777" w:rsidR="00F8551D" w:rsidRPr="00DA19D1" w:rsidRDefault="00F8551D" w:rsidP="00FD2B68">
      <w:pPr>
        <w:numPr>
          <w:ilvl w:val="0"/>
          <w:numId w:val="17"/>
        </w:numPr>
        <w:spacing w:before="120" w:after="120" w:line="240" w:lineRule="auto"/>
        <w:ind w:left="714" w:hanging="357"/>
        <w:jc w:val="both"/>
        <w:rPr>
          <w:rFonts w:ascii="Kohinoor Devanagari" w:hAnsi="Kohinoor Devanagari" w:cs="Kohinoor Devanagari"/>
          <w:sz w:val="22"/>
          <w:szCs w:val="22"/>
          <w:lang w:eastAsia="en-GB"/>
        </w:rPr>
      </w:pPr>
      <w:r w:rsidRPr="00DA19D1">
        <w:rPr>
          <w:rFonts w:ascii="Kohinoor Devanagari" w:hAnsi="Kohinoor Devanagari" w:cs="Kohinoor Devanagari"/>
          <w:b/>
          <w:bCs/>
          <w:sz w:val="22"/>
          <w:szCs w:val="22"/>
          <w:lang w:eastAsia="en-GB"/>
        </w:rPr>
        <w:t>Regulatory Oversight:</w:t>
      </w:r>
      <w:r w:rsidRPr="00DA19D1">
        <w:rPr>
          <w:rFonts w:ascii="Kohinoor Devanagari" w:hAnsi="Kohinoor Devanagari" w:cs="Kohinoor Devanagari"/>
          <w:sz w:val="22"/>
          <w:szCs w:val="22"/>
          <w:lang w:eastAsia="en-GB"/>
        </w:rPr>
        <w:t xml:space="preserve"> Implements policies for oil and gas extraction, licensing rounds, and contractual agreements with IOCs.</w:t>
      </w:r>
    </w:p>
    <w:p w14:paraId="77C82BA5" w14:textId="77777777" w:rsidR="00F8551D" w:rsidRPr="00DA19D1" w:rsidRDefault="00F8551D" w:rsidP="00FD2B68">
      <w:pPr>
        <w:numPr>
          <w:ilvl w:val="0"/>
          <w:numId w:val="17"/>
        </w:numPr>
        <w:spacing w:before="120" w:after="120" w:line="240" w:lineRule="auto"/>
        <w:ind w:left="714" w:hanging="357"/>
        <w:jc w:val="both"/>
        <w:rPr>
          <w:rFonts w:ascii="Kohinoor Devanagari" w:hAnsi="Kohinoor Devanagari" w:cs="Kohinoor Devanagari"/>
          <w:sz w:val="22"/>
          <w:szCs w:val="22"/>
          <w:lang w:eastAsia="en-GB"/>
        </w:rPr>
      </w:pPr>
      <w:r w:rsidRPr="00DA19D1">
        <w:rPr>
          <w:rFonts w:ascii="Kohinoor Devanagari" w:hAnsi="Kohinoor Devanagari" w:cs="Kohinoor Devanagari"/>
          <w:b/>
          <w:bCs/>
          <w:sz w:val="22"/>
          <w:szCs w:val="22"/>
          <w:lang w:eastAsia="en-GB"/>
        </w:rPr>
        <w:t>Data Collection and Reporting</w:t>
      </w:r>
      <w:r w:rsidRPr="00DA19D1">
        <w:rPr>
          <w:rFonts w:ascii="Kohinoor Devanagari" w:hAnsi="Kohinoor Devanagari" w:cs="Kohinoor Devanagari"/>
          <w:sz w:val="22"/>
          <w:szCs w:val="22"/>
          <w:lang w:eastAsia="en-GB"/>
        </w:rPr>
        <w:t>: Responsible for gathering production, export, and operational data from state-owned enterprises (SOEs) and international operators.</w:t>
      </w:r>
    </w:p>
    <w:p w14:paraId="553F601C" w14:textId="77777777" w:rsidR="00F8551D" w:rsidRPr="00DA19D1" w:rsidRDefault="00F8551D" w:rsidP="00FD2B68">
      <w:pPr>
        <w:numPr>
          <w:ilvl w:val="0"/>
          <w:numId w:val="17"/>
        </w:numPr>
        <w:spacing w:before="120" w:after="120" w:line="240" w:lineRule="auto"/>
        <w:ind w:left="714" w:hanging="357"/>
        <w:jc w:val="both"/>
        <w:rPr>
          <w:rFonts w:ascii="Kohinoor Devanagari" w:hAnsi="Kohinoor Devanagari" w:cs="Kohinoor Devanagari"/>
          <w:sz w:val="22"/>
          <w:szCs w:val="22"/>
          <w:lang w:eastAsia="en-GB"/>
        </w:rPr>
      </w:pPr>
      <w:r w:rsidRPr="00DA19D1">
        <w:rPr>
          <w:rFonts w:ascii="Kohinoor Devanagari" w:hAnsi="Kohinoor Devanagari" w:cs="Kohinoor Devanagari"/>
          <w:b/>
          <w:bCs/>
          <w:sz w:val="22"/>
          <w:szCs w:val="22"/>
          <w:lang w:eastAsia="en-GB"/>
        </w:rPr>
        <w:t>Sectoral Transparency:</w:t>
      </w:r>
      <w:r w:rsidRPr="00DA19D1">
        <w:rPr>
          <w:rFonts w:ascii="Kohinoor Devanagari" w:hAnsi="Kohinoor Devanagari" w:cs="Kohinoor Devanagari"/>
          <w:sz w:val="22"/>
          <w:szCs w:val="22"/>
          <w:lang w:eastAsia="en-GB"/>
        </w:rPr>
        <w:t xml:space="preserve"> Maintains transparency obligations through the publication of production and export figures (though gaps remain in contract and financial disclosures).</w:t>
      </w:r>
    </w:p>
    <w:p w14:paraId="1C86A01D" w14:textId="77777777" w:rsidR="004253E4" w:rsidRPr="00DA19D1" w:rsidRDefault="004253E4" w:rsidP="00FD2B68">
      <w:pPr>
        <w:pStyle w:val="ListParagraph"/>
        <w:numPr>
          <w:ilvl w:val="0"/>
          <w:numId w:val="19"/>
        </w:numPr>
        <w:spacing w:before="120" w:after="120" w:line="240" w:lineRule="auto"/>
        <w:ind w:left="426" w:hanging="284"/>
        <w:jc w:val="both"/>
        <w:rPr>
          <w:rFonts w:ascii="Kohinoor Devanagari" w:hAnsi="Kohinoor Devanagari" w:cs="Kohinoor Devanagari"/>
          <w:b/>
          <w:bCs/>
          <w:sz w:val="22"/>
          <w:szCs w:val="22"/>
          <w:lang w:eastAsia="en-GB"/>
        </w:rPr>
      </w:pPr>
      <w:r w:rsidRPr="00DA19D1">
        <w:rPr>
          <w:rFonts w:ascii="Kohinoor Devanagari" w:hAnsi="Kohinoor Devanagari" w:cs="Kohinoor Devanagari"/>
          <w:b/>
          <w:bCs/>
          <w:sz w:val="22"/>
          <w:szCs w:val="22"/>
          <w:lang w:eastAsia="en-GB"/>
        </w:rPr>
        <w:t>Relevance for Systematic Disclosure:</w:t>
      </w:r>
    </w:p>
    <w:p w14:paraId="761496EA" w14:textId="77777777" w:rsidR="004253E4" w:rsidRPr="00A3573B" w:rsidRDefault="004253E4" w:rsidP="00FD2B68">
      <w:pPr>
        <w:numPr>
          <w:ilvl w:val="0"/>
          <w:numId w:val="17"/>
        </w:numPr>
        <w:spacing w:before="120" w:after="120" w:line="240" w:lineRule="auto"/>
        <w:ind w:left="714" w:hanging="357"/>
        <w:jc w:val="both"/>
        <w:rPr>
          <w:rFonts w:ascii="Kohinoor Devanagari" w:hAnsi="Kohinoor Devanagari" w:cs="Kohinoor Devanagari"/>
          <w:b/>
          <w:bCs/>
          <w:sz w:val="22"/>
          <w:szCs w:val="22"/>
          <w:lang w:eastAsia="en-GB"/>
        </w:rPr>
      </w:pPr>
      <w:r w:rsidRPr="00A3573B">
        <w:rPr>
          <w:rFonts w:ascii="Kohinoor Devanagari" w:hAnsi="Kohinoor Devanagari" w:cs="Kohinoor Devanagari"/>
          <w:sz w:val="22"/>
          <w:szCs w:val="22"/>
          <w:lang w:eastAsia="en-GB"/>
        </w:rPr>
        <w:t>Primary authority for ensuring real-time disclosure of oil production, export, and contract data</w:t>
      </w:r>
      <w:r w:rsidRPr="00A3573B">
        <w:rPr>
          <w:rFonts w:ascii="Kohinoor Devanagari" w:hAnsi="Kohinoor Devanagari" w:cs="Kohinoor Devanagari"/>
          <w:b/>
          <w:bCs/>
          <w:sz w:val="22"/>
          <w:szCs w:val="22"/>
          <w:lang w:eastAsia="en-GB"/>
        </w:rPr>
        <w:t>.</w:t>
      </w:r>
    </w:p>
    <w:p w14:paraId="150B9113" w14:textId="77C9521A" w:rsidR="004253E4" w:rsidRPr="00A3573B" w:rsidRDefault="004253E4" w:rsidP="00FD2B68">
      <w:pPr>
        <w:numPr>
          <w:ilvl w:val="0"/>
          <w:numId w:val="17"/>
        </w:numPr>
        <w:spacing w:before="120" w:after="120" w:line="240" w:lineRule="auto"/>
        <w:ind w:left="714" w:hanging="357"/>
        <w:jc w:val="both"/>
        <w:rPr>
          <w:rFonts w:ascii="Kohinoor Devanagari" w:hAnsi="Kohinoor Devanagari" w:cs="Kohinoor Devanagari"/>
          <w:b/>
          <w:bCs/>
          <w:sz w:val="22"/>
          <w:szCs w:val="22"/>
          <w:lang w:eastAsia="en-GB"/>
        </w:rPr>
      </w:pPr>
      <w:r w:rsidRPr="00A3573B">
        <w:rPr>
          <w:rFonts w:ascii="Kohinoor Devanagari" w:hAnsi="Kohinoor Devanagari" w:cs="Kohinoor Devanagari"/>
          <w:sz w:val="22"/>
          <w:szCs w:val="22"/>
          <w:lang w:eastAsia="en-GB"/>
        </w:rPr>
        <w:t>Critical in implementing routine publication of service contracts and fiscal terms.</w:t>
      </w:r>
    </w:p>
    <w:p w14:paraId="3AD55D3E" w14:textId="015FA53D" w:rsidR="004253E4" w:rsidRPr="00A3573B" w:rsidRDefault="004253E4" w:rsidP="00FD2B68">
      <w:pPr>
        <w:numPr>
          <w:ilvl w:val="0"/>
          <w:numId w:val="17"/>
        </w:numPr>
        <w:spacing w:before="120" w:after="120" w:line="240" w:lineRule="auto"/>
        <w:ind w:left="714" w:hanging="357"/>
        <w:jc w:val="both"/>
        <w:rPr>
          <w:rFonts w:ascii="Kohinoor Devanagari" w:hAnsi="Kohinoor Devanagari" w:cs="Kohinoor Devanagari"/>
          <w:b/>
          <w:bCs/>
          <w:sz w:val="22"/>
          <w:szCs w:val="22"/>
          <w:lang w:eastAsia="en-GB"/>
        </w:rPr>
      </w:pPr>
      <w:r w:rsidRPr="00A3573B">
        <w:rPr>
          <w:rFonts w:ascii="Kohinoor Devanagari" w:hAnsi="Kohinoor Devanagari" w:cs="Kohinoor Devanagari"/>
          <w:sz w:val="22"/>
          <w:szCs w:val="22"/>
          <w:lang w:eastAsia="en-GB"/>
        </w:rPr>
        <w:t>Can enhance reporting by integrating contract amendments, production costs, and investment terms into open data systems</w:t>
      </w:r>
      <w:r w:rsidRPr="00A3573B">
        <w:rPr>
          <w:rFonts w:ascii="Kohinoor Devanagari" w:hAnsi="Kohinoor Devanagari" w:cs="Kohinoor Devanagari"/>
          <w:b/>
          <w:bCs/>
          <w:sz w:val="22"/>
          <w:szCs w:val="22"/>
          <w:lang w:eastAsia="en-GB"/>
        </w:rPr>
        <w:t>.</w:t>
      </w:r>
    </w:p>
    <w:p w14:paraId="1D090F09" w14:textId="152B5037" w:rsidR="00DA6461" w:rsidRPr="00DA19D1" w:rsidRDefault="00255537" w:rsidP="00FD2B68">
      <w:pPr>
        <w:pStyle w:val="ListParagraph"/>
        <w:numPr>
          <w:ilvl w:val="0"/>
          <w:numId w:val="19"/>
        </w:numPr>
        <w:spacing w:before="120" w:after="120" w:line="240" w:lineRule="auto"/>
        <w:ind w:left="426" w:hanging="284"/>
        <w:jc w:val="both"/>
        <w:rPr>
          <w:rFonts w:ascii="Kohinoor Devanagari" w:hAnsi="Kohinoor Devanagari" w:cs="Kohinoor Devanagari"/>
          <w:b/>
          <w:bCs/>
          <w:sz w:val="22"/>
          <w:szCs w:val="22"/>
          <w:lang w:eastAsia="en-GB"/>
        </w:rPr>
      </w:pPr>
      <w:r w:rsidRPr="00DA19D1">
        <w:rPr>
          <w:rFonts w:ascii="Kohinoor Devanagari" w:hAnsi="Kohinoor Devanagari" w:cs="Kohinoor Devanagari"/>
          <w:b/>
          <w:bCs/>
          <w:sz w:val="22"/>
          <w:szCs w:val="22"/>
          <w:lang w:eastAsia="en-GB"/>
        </w:rPr>
        <w:t xml:space="preserve">Key </w:t>
      </w:r>
      <w:r w:rsidR="004253E4" w:rsidRPr="00DA19D1">
        <w:rPr>
          <w:rFonts w:ascii="Kohinoor Devanagari" w:hAnsi="Kohinoor Devanagari" w:cs="Kohinoor Devanagari"/>
          <w:b/>
          <w:bCs/>
          <w:sz w:val="22"/>
          <w:szCs w:val="22"/>
          <w:lang w:eastAsia="en-GB"/>
        </w:rPr>
        <w:t>Challenges:</w:t>
      </w:r>
    </w:p>
    <w:p w14:paraId="6D8D4B6E" w14:textId="036AFD5A" w:rsidR="00DA6461" w:rsidRPr="00A3573B" w:rsidRDefault="004253E4" w:rsidP="00FD2B68">
      <w:pPr>
        <w:numPr>
          <w:ilvl w:val="0"/>
          <w:numId w:val="17"/>
        </w:numPr>
        <w:spacing w:before="120" w:after="120" w:line="240" w:lineRule="auto"/>
        <w:ind w:left="714" w:hanging="357"/>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Lack of systematic public disclosure of contractual terms.</w:t>
      </w:r>
    </w:p>
    <w:p w14:paraId="2666DF94" w14:textId="480461B0" w:rsidR="004253E4" w:rsidRPr="00A3573B" w:rsidRDefault="004253E4" w:rsidP="00FD2B68">
      <w:pPr>
        <w:numPr>
          <w:ilvl w:val="0"/>
          <w:numId w:val="17"/>
        </w:numPr>
        <w:spacing w:before="120" w:after="120" w:line="240" w:lineRule="auto"/>
        <w:ind w:left="714" w:hanging="357"/>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Limited enforcement of routine data publication beyond annual EITI reports.</w:t>
      </w:r>
    </w:p>
    <w:p w14:paraId="3BE1584A" w14:textId="1C40F2D0" w:rsidR="00943E6F" w:rsidRPr="00A3573B" w:rsidRDefault="00943E6F" w:rsidP="00FA21AC">
      <w:pPr>
        <w:pStyle w:val="Heading3"/>
        <w:numPr>
          <w:ilvl w:val="2"/>
          <w:numId w:val="74"/>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Ministry of Finance (MoF) &amp; Central Bank of Iraq (CBI)</w:t>
      </w:r>
    </w:p>
    <w:p w14:paraId="249A2193" w14:textId="77777777" w:rsidR="00BD0641" w:rsidRPr="00A3573B" w:rsidRDefault="00BD0641"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The Ministry of Finance (MoF) and the Central Bank of Iraq (CBI) manage Iraq’s oil revenues, ensuring that extractive sector earnings are properly accounted for and allocated within the national budget.</w:t>
      </w:r>
    </w:p>
    <w:p w14:paraId="6AF8AA93" w14:textId="77777777" w:rsidR="00986C47" w:rsidRPr="00DA19D1" w:rsidRDefault="00986C47" w:rsidP="00FD2B68">
      <w:pPr>
        <w:pStyle w:val="ListParagraph"/>
        <w:numPr>
          <w:ilvl w:val="0"/>
          <w:numId w:val="19"/>
        </w:numPr>
        <w:spacing w:before="120" w:after="120" w:line="240" w:lineRule="auto"/>
        <w:ind w:left="426" w:hanging="284"/>
        <w:jc w:val="both"/>
        <w:rPr>
          <w:rFonts w:ascii="Kohinoor Devanagari" w:hAnsi="Kohinoor Devanagari" w:cs="Kohinoor Devanagari"/>
          <w:b/>
          <w:bCs/>
          <w:sz w:val="22"/>
          <w:szCs w:val="22"/>
          <w:lang w:eastAsia="en-GB"/>
        </w:rPr>
      </w:pPr>
      <w:r w:rsidRPr="00DA19D1">
        <w:rPr>
          <w:rFonts w:ascii="Kohinoor Devanagari" w:hAnsi="Kohinoor Devanagari" w:cs="Kohinoor Devanagari"/>
          <w:b/>
          <w:bCs/>
          <w:sz w:val="22"/>
          <w:szCs w:val="22"/>
          <w:lang w:eastAsia="en-GB"/>
        </w:rPr>
        <w:t>Key Responsibilities:</w:t>
      </w:r>
    </w:p>
    <w:p w14:paraId="4797A414" w14:textId="77777777" w:rsidR="00BD0641" w:rsidRPr="00A3573B" w:rsidRDefault="00BD0641" w:rsidP="00FD2B68">
      <w:pPr>
        <w:numPr>
          <w:ilvl w:val="0"/>
          <w:numId w:val="18"/>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Revenue Collection &amp; Budget Allocation:</w:t>
      </w:r>
      <w:r w:rsidRPr="00A3573B">
        <w:rPr>
          <w:rFonts w:ascii="Kohinoor Devanagari" w:hAnsi="Kohinoor Devanagari" w:cs="Kohinoor Devanagari"/>
          <w:sz w:val="22"/>
          <w:szCs w:val="22"/>
          <w:lang w:eastAsia="en-GB"/>
        </w:rPr>
        <w:t xml:space="preserve"> The MoF manages </w:t>
      </w:r>
      <w:r w:rsidRPr="00A3573B">
        <w:rPr>
          <w:rFonts w:ascii="Kohinoor Devanagari" w:hAnsi="Kohinoor Devanagari" w:cs="Kohinoor Devanagari"/>
          <w:b/>
          <w:bCs/>
          <w:sz w:val="22"/>
          <w:szCs w:val="22"/>
          <w:lang w:eastAsia="en-GB"/>
        </w:rPr>
        <w:t>oil revenues transferred from SOMO</w:t>
      </w:r>
      <w:r w:rsidRPr="00A3573B">
        <w:rPr>
          <w:rFonts w:ascii="Kohinoor Devanagari" w:hAnsi="Kohinoor Devanagari" w:cs="Kohinoor Devanagari"/>
          <w:sz w:val="22"/>
          <w:szCs w:val="22"/>
          <w:lang w:eastAsia="en-GB"/>
        </w:rPr>
        <w:t xml:space="preserve">, while the </w:t>
      </w:r>
      <w:r w:rsidRPr="00A3573B">
        <w:rPr>
          <w:rFonts w:ascii="Kohinoor Devanagari" w:hAnsi="Kohinoor Devanagari" w:cs="Kohinoor Devanagari"/>
          <w:b/>
          <w:bCs/>
          <w:sz w:val="22"/>
          <w:szCs w:val="22"/>
          <w:lang w:eastAsia="en-GB"/>
        </w:rPr>
        <w:t>CBI oversees foreign exchange reserves</w:t>
      </w:r>
      <w:r w:rsidRPr="00A3573B">
        <w:rPr>
          <w:rFonts w:ascii="Kohinoor Devanagari" w:hAnsi="Kohinoor Devanagari" w:cs="Kohinoor Devanagari"/>
          <w:sz w:val="22"/>
          <w:szCs w:val="22"/>
          <w:lang w:eastAsia="en-GB"/>
        </w:rPr>
        <w:t xml:space="preserve"> from crude oil sales.</w:t>
      </w:r>
    </w:p>
    <w:p w14:paraId="1F7E7234" w14:textId="77777777" w:rsidR="00BD0641" w:rsidRPr="00A3573B" w:rsidRDefault="00BD0641" w:rsidP="00FD2B68">
      <w:pPr>
        <w:numPr>
          <w:ilvl w:val="0"/>
          <w:numId w:val="18"/>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Offshore Accounts Management:</w:t>
      </w:r>
      <w:r w:rsidRPr="00A3573B">
        <w:rPr>
          <w:rFonts w:ascii="Kohinoor Devanagari" w:hAnsi="Kohinoor Devanagari" w:cs="Kohinoor Devanagari"/>
          <w:sz w:val="22"/>
          <w:szCs w:val="22"/>
          <w:lang w:eastAsia="en-GB"/>
        </w:rPr>
        <w:t xml:space="preserve"> Revenue from oil exports is first deposited into the Oil and Gas Revenue Account (OGRA) at the Federal Reserve Bank of New York (FRBNY) before being transferred to the Development Fund for Iraq (DFI) and ultimately to the national budget.</w:t>
      </w:r>
    </w:p>
    <w:p w14:paraId="50EFEDB0" w14:textId="77777777" w:rsidR="00BD0641" w:rsidRPr="00A3573B" w:rsidRDefault="00BD0641" w:rsidP="00FD2B68">
      <w:pPr>
        <w:numPr>
          <w:ilvl w:val="0"/>
          <w:numId w:val="18"/>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Public Financial Management:</w:t>
      </w:r>
      <w:r w:rsidRPr="00A3573B">
        <w:rPr>
          <w:rFonts w:ascii="Kohinoor Devanagari" w:hAnsi="Kohinoor Devanagari" w:cs="Kohinoor Devanagari"/>
          <w:sz w:val="22"/>
          <w:szCs w:val="22"/>
          <w:lang w:eastAsia="en-GB"/>
        </w:rPr>
        <w:t xml:space="preserve"> The MoF is responsible for budget planning and execution, including the management of Petrodollar Allocations to oil-producing Governorates.</w:t>
      </w:r>
    </w:p>
    <w:p w14:paraId="5ED9483D" w14:textId="77777777" w:rsidR="00986C47" w:rsidRPr="00DA19D1" w:rsidRDefault="00986C47" w:rsidP="00FD2B68">
      <w:pPr>
        <w:pStyle w:val="ListParagraph"/>
        <w:numPr>
          <w:ilvl w:val="0"/>
          <w:numId w:val="19"/>
        </w:numPr>
        <w:spacing w:before="120" w:after="120" w:line="240" w:lineRule="auto"/>
        <w:ind w:left="426" w:hanging="284"/>
        <w:jc w:val="both"/>
        <w:rPr>
          <w:rFonts w:ascii="Kohinoor Devanagari" w:hAnsi="Kohinoor Devanagari" w:cs="Kohinoor Devanagari"/>
          <w:b/>
          <w:bCs/>
          <w:sz w:val="22"/>
          <w:szCs w:val="22"/>
          <w:lang w:eastAsia="en-GB"/>
        </w:rPr>
      </w:pPr>
      <w:r w:rsidRPr="00DA19D1">
        <w:rPr>
          <w:rFonts w:ascii="Kohinoor Devanagari" w:hAnsi="Kohinoor Devanagari" w:cs="Kohinoor Devanagari"/>
          <w:b/>
          <w:bCs/>
          <w:sz w:val="22"/>
          <w:szCs w:val="22"/>
          <w:lang w:eastAsia="en-GB"/>
        </w:rPr>
        <w:t>Relevance for Systematic Disclosure:</w:t>
      </w:r>
    </w:p>
    <w:p w14:paraId="1129EF91" w14:textId="71DEADD2" w:rsidR="00986C47" w:rsidRPr="00A3573B" w:rsidRDefault="00986C47" w:rsidP="00FD2B68">
      <w:pPr>
        <w:numPr>
          <w:ilvl w:val="0"/>
          <w:numId w:val="17"/>
        </w:numPr>
        <w:spacing w:before="120" w:after="120" w:line="240" w:lineRule="auto"/>
        <w:ind w:left="714" w:hanging="357"/>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Critical for disclosing real-time financial flows from crude oil sales to government accounts.</w:t>
      </w:r>
    </w:p>
    <w:p w14:paraId="7D2001CE" w14:textId="72FF9374" w:rsidR="00986C47" w:rsidRPr="00A3573B" w:rsidRDefault="00986C47" w:rsidP="00FD2B68">
      <w:pPr>
        <w:numPr>
          <w:ilvl w:val="0"/>
          <w:numId w:val="17"/>
        </w:numPr>
        <w:spacing w:before="120" w:after="120" w:line="240" w:lineRule="auto"/>
        <w:ind w:left="714" w:hanging="357"/>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Should ensure systematic publication of financial statements for OGRA, DFI, and subnational revenue transfers.</w:t>
      </w:r>
    </w:p>
    <w:p w14:paraId="51E070F6" w14:textId="7EFF6C46" w:rsidR="00986C47" w:rsidRPr="00A3573B" w:rsidRDefault="00986C47" w:rsidP="00FD2B68">
      <w:pPr>
        <w:numPr>
          <w:ilvl w:val="0"/>
          <w:numId w:val="17"/>
        </w:numPr>
        <w:spacing w:before="120" w:after="120" w:line="240" w:lineRule="auto"/>
        <w:ind w:left="714" w:hanging="357"/>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Can integrate oil revenue transparency into broader public finance disclosure reforms (e.g., Integrated Financial Management System - IFMIS, Treasury Single Account - TSA).</w:t>
      </w:r>
    </w:p>
    <w:p w14:paraId="0977AE9C" w14:textId="268923B8" w:rsidR="00986C47" w:rsidRPr="00DA19D1" w:rsidRDefault="00255537" w:rsidP="00FD2B68">
      <w:pPr>
        <w:pStyle w:val="ListParagraph"/>
        <w:numPr>
          <w:ilvl w:val="0"/>
          <w:numId w:val="19"/>
        </w:numPr>
        <w:spacing w:before="120" w:after="120" w:line="240" w:lineRule="auto"/>
        <w:ind w:left="426" w:hanging="284"/>
        <w:jc w:val="both"/>
        <w:rPr>
          <w:rFonts w:ascii="Kohinoor Devanagari" w:hAnsi="Kohinoor Devanagari" w:cs="Kohinoor Devanagari"/>
          <w:b/>
          <w:bCs/>
          <w:sz w:val="22"/>
          <w:szCs w:val="22"/>
          <w:lang w:eastAsia="en-GB"/>
        </w:rPr>
      </w:pPr>
      <w:r w:rsidRPr="00DA19D1">
        <w:rPr>
          <w:rFonts w:ascii="Kohinoor Devanagari" w:hAnsi="Kohinoor Devanagari" w:cs="Kohinoor Devanagari"/>
          <w:b/>
          <w:bCs/>
          <w:sz w:val="22"/>
          <w:szCs w:val="22"/>
          <w:lang w:eastAsia="en-GB"/>
        </w:rPr>
        <w:t xml:space="preserve">Key </w:t>
      </w:r>
      <w:r w:rsidR="00986C47" w:rsidRPr="00DA19D1">
        <w:rPr>
          <w:rFonts w:ascii="Kohinoor Devanagari" w:hAnsi="Kohinoor Devanagari" w:cs="Kohinoor Devanagari"/>
          <w:b/>
          <w:bCs/>
          <w:sz w:val="22"/>
          <w:szCs w:val="22"/>
          <w:lang w:eastAsia="en-GB"/>
        </w:rPr>
        <w:t>Challenges:</w:t>
      </w:r>
    </w:p>
    <w:p w14:paraId="24E55E89" w14:textId="77777777" w:rsidR="0014022D" w:rsidRPr="00A3573B" w:rsidRDefault="00986C47" w:rsidP="00FD2B68">
      <w:pPr>
        <w:numPr>
          <w:ilvl w:val="0"/>
          <w:numId w:val="17"/>
        </w:numPr>
        <w:spacing w:before="120" w:after="120" w:line="240" w:lineRule="auto"/>
        <w:ind w:left="714" w:hanging="357"/>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 xml:space="preserve">No systematic disclosure of offshore oil revenue account balances and transfers. </w:t>
      </w:r>
    </w:p>
    <w:p w14:paraId="2A5A6B7B" w14:textId="2C21B9E5" w:rsidR="00986C47" w:rsidRPr="00A3573B" w:rsidRDefault="00986C47" w:rsidP="00FD2B68">
      <w:pPr>
        <w:numPr>
          <w:ilvl w:val="0"/>
          <w:numId w:val="17"/>
        </w:numPr>
        <w:spacing w:before="120" w:after="120" w:line="240" w:lineRule="auto"/>
        <w:ind w:left="714" w:hanging="357"/>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Lack of clarity on how SOE retained earnings and special fiscal arrangements are recorded in the national budget.</w:t>
      </w:r>
    </w:p>
    <w:p w14:paraId="2C19A966" w14:textId="77777777" w:rsidR="00DC14AE" w:rsidRDefault="00DC14AE">
      <w:pPr>
        <w:rPr>
          <w:rFonts w:ascii="Kohinoor Devanagari" w:eastAsiaTheme="majorEastAsia" w:hAnsi="Kohinoor Devanagari" w:cs="Kohinoor Devanagari"/>
          <w:b/>
          <w:bCs/>
          <w:color w:val="0F4761" w:themeColor="accent1" w:themeShade="BF"/>
          <w:sz w:val="22"/>
          <w:szCs w:val="22"/>
          <w:lang w:eastAsia="en-GB"/>
        </w:rPr>
      </w:pPr>
      <w:r>
        <w:rPr>
          <w:rFonts w:ascii="Kohinoor Devanagari" w:hAnsi="Kohinoor Devanagari" w:cs="Kohinoor Devanagari"/>
          <w:b/>
          <w:bCs/>
          <w:sz w:val="22"/>
          <w:szCs w:val="22"/>
          <w:lang w:eastAsia="en-GB"/>
        </w:rPr>
        <w:br w:type="page"/>
      </w:r>
    </w:p>
    <w:p w14:paraId="431D1EF3" w14:textId="5177FD78" w:rsidR="009C4AFC" w:rsidRPr="00A3573B" w:rsidRDefault="009C4AFC" w:rsidP="00FA21AC">
      <w:pPr>
        <w:pStyle w:val="Heading3"/>
        <w:numPr>
          <w:ilvl w:val="2"/>
          <w:numId w:val="74"/>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 xml:space="preserve">State Oil Marketing Organization (SOMO) &amp; Other SOEs </w:t>
      </w:r>
    </w:p>
    <w:p w14:paraId="4F391AAE" w14:textId="53DB2761" w:rsidR="009C4AFC" w:rsidRPr="00A3573B" w:rsidRDefault="009C4AFC" w:rsidP="00636C4A">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The State Oil Marketing Organization (SOMO) is responsible for crude oil sales</w:t>
      </w:r>
      <w:r w:rsidR="00636C4A">
        <w:rPr>
          <w:rFonts w:ascii="Kohinoor Devanagari" w:hAnsi="Kohinoor Devanagari" w:cs="Kohinoor Devanagari"/>
          <w:sz w:val="22"/>
          <w:szCs w:val="22"/>
          <w:lang w:eastAsia="en-GB"/>
        </w:rPr>
        <w:t xml:space="preserve"> </w:t>
      </w:r>
      <w:r w:rsidR="00636C4A" w:rsidRPr="00636C4A">
        <w:rPr>
          <w:rFonts w:ascii="Kohinoor Devanagari" w:hAnsi="Kohinoor Devanagari" w:cs="Kohinoor Devanagari"/>
          <w:sz w:val="22"/>
          <w:szCs w:val="22"/>
          <w:lang w:eastAsia="en-GB"/>
        </w:rPr>
        <w:t>on the international market</w:t>
      </w:r>
      <w:r w:rsidRPr="00A3573B">
        <w:rPr>
          <w:rFonts w:ascii="Kohinoor Devanagari" w:hAnsi="Kohinoor Devanagari" w:cs="Kohinoor Devanagari"/>
          <w:sz w:val="22"/>
          <w:szCs w:val="22"/>
          <w:lang w:eastAsia="en-GB"/>
        </w:rPr>
        <w:t>, contract execution, and revenue transfers to the Iraqi government. Other SOEs, including Basra Oil Company (BOC), North Oil Company (NOC), and Midland Oil Company (MOC), play key roles in production and domestic oil distribution.</w:t>
      </w:r>
    </w:p>
    <w:p w14:paraId="5CC16D36" w14:textId="7D8EF3C7" w:rsidR="009C4AFC" w:rsidRPr="00DA19D1" w:rsidRDefault="009C4AFC" w:rsidP="00FD2B68">
      <w:pPr>
        <w:pStyle w:val="ListParagraph"/>
        <w:numPr>
          <w:ilvl w:val="0"/>
          <w:numId w:val="19"/>
        </w:numPr>
        <w:spacing w:before="120" w:after="120" w:line="240" w:lineRule="auto"/>
        <w:ind w:left="426" w:hanging="284"/>
        <w:jc w:val="both"/>
        <w:rPr>
          <w:rFonts w:ascii="Kohinoor Devanagari" w:hAnsi="Kohinoor Devanagari" w:cs="Kohinoor Devanagari"/>
          <w:b/>
          <w:bCs/>
          <w:sz w:val="22"/>
          <w:szCs w:val="22"/>
          <w:lang w:eastAsia="en-GB"/>
        </w:rPr>
      </w:pPr>
      <w:r w:rsidRPr="00DA19D1">
        <w:rPr>
          <w:rFonts w:ascii="Kohinoor Devanagari" w:hAnsi="Kohinoor Devanagari" w:cs="Kohinoor Devanagari"/>
          <w:b/>
          <w:bCs/>
          <w:sz w:val="22"/>
          <w:szCs w:val="22"/>
          <w:lang w:eastAsia="en-GB"/>
        </w:rPr>
        <w:t>Key Responsibilities:</w:t>
      </w:r>
    </w:p>
    <w:p w14:paraId="03878EF5" w14:textId="77777777" w:rsidR="009C4AFC" w:rsidRPr="00A3573B" w:rsidRDefault="009C4AFC" w:rsidP="00FD2B68">
      <w:pPr>
        <w:numPr>
          <w:ilvl w:val="0"/>
          <w:numId w:val="20"/>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Crude Oil Sales &amp; Export Revenue Collection</w:t>
      </w:r>
      <w:r w:rsidRPr="00A3573B">
        <w:rPr>
          <w:rFonts w:ascii="Kohinoor Devanagari" w:hAnsi="Kohinoor Devanagari" w:cs="Kohinoor Devanagari"/>
          <w:sz w:val="22"/>
          <w:szCs w:val="22"/>
          <w:lang w:eastAsia="en-GB"/>
        </w:rPr>
        <w:t>: SOMO is the sole entity authorized to market Iraq’s crude oil internationally.</w:t>
      </w:r>
    </w:p>
    <w:p w14:paraId="1B44752E" w14:textId="1907725E" w:rsidR="009C4AFC" w:rsidRPr="00A3573B" w:rsidRDefault="009C4AFC" w:rsidP="00FD2B68">
      <w:pPr>
        <w:numPr>
          <w:ilvl w:val="0"/>
          <w:numId w:val="20"/>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Domestic Oil Supply Management:</w:t>
      </w:r>
      <w:r w:rsidRPr="00A3573B">
        <w:rPr>
          <w:rFonts w:ascii="Kohinoor Devanagari" w:hAnsi="Kohinoor Devanagari" w:cs="Kohinoor Devanagari"/>
          <w:sz w:val="22"/>
          <w:szCs w:val="22"/>
          <w:lang w:eastAsia="en-GB"/>
        </w:rPr>
        <w:t xml:space="preserve"> </w:t>
      </w:r>
      <w:r w:rsidR="00A871E7">
        <w:rPr>
          <w:rFonts w:ascii="Kohinoor Devanagari" w:hAnsi="Kohinoor Devanagari" w:cs="Kohinoor Devanagari"/>
          <w:sz w:val="22"/>
          <w:szCs w:val="22"/>
          <w:lang w:eastAsia="en-GB"/>
        </w:rPr>
        <w:t xml:space="preserve">Other </w:t>
      </w:r>
      <w:r w:rsidRPr="00A3573B">
        <w:rPr>
          <w:rFonts w:ascii="Kohinoor Devanagari" w:hAnsi="Kohinoor Devanagari" w:cs="Kohinoor Devanagari"/>
          <w:sz w:val="22"/>
          <w:szCs w:val="22"/>
          <w:lang w:eastAsia="en-GB"/>
        </w:rPr>
        <w:t>SOEs handle the supply of crude oil to domestic refineries and power plants.</w:t>
      </w:r>
    </w:p>
    <w:p w14:paraId="3886FA14" w14:textId="77777777" w:rsidR="001F52D2" w:rsidRPr="00DA19D1" w:rsidRDefault="001F52D2" w:rsidP="00FD2B68">
      <w:pPr>
        <w:pStyle w:val="ListParagraph"/>
        <w:numPr>
          <w:ilvl w:val="0"/>
          <w:numId w:val="19"/>
        </w:numPr>
        <w:spacing w:before="120" w:after="120" w:line="240" w:lineRule="auto"/>
        <w:ind w:left="426" w:hanging="284"/>
        <w:jc w:val="both"/>
        <w:rPr>
          <w:rFonts w:ascii="Kohinoor Devanagari" w:hAnsi="Kohinoor Devanagari" w:cs="Kohinoor Devanagari"/>
          <w:b/>
          <w:bCs/>
          <w:sz w:val="22"/>
          <w:szCs w:val="22"/>
          <w:lang w:eastAsia="en-GB"/>
        </w:rPr>
      </w:pPr>
      <w:r w:rsidRPr="00DA19D1">
        <w:rPr>
          <w:rFonts w:ascii="Kohinoor Devanagari" w:hAnsi="Kohinoor Devanagari" w:cs="Kohinoor Devanagari"/>
          <w:b/>
          <w:bCs/>
          <w:sz w:val="22"/>
          <w:szCs w:val="22"/>
          <w:lang w:eastAsia="en-GB"/>
        </w:rPr>
        <w:t>Relevance for Systematic Disclosure:</w:t>
      </w:r>
    </w:p>
    <w:p w14:paraId="1BC9EB11" w14:textId="2CF7B0EA" w:rsidR="001F52D2" w:rsidRPr="00A3573B" w:rsidRDefault="001F52D2" w:rsidP="00FD2B68">
      <w:pPr>
        <w:numPr>
          <w:ilvl w:val="0"/>
          <w:numId w:val="17"/>
        </w:numPr>
        <w:spacing w:before="120" w:after="120" w:line="240" w:lineRule="auto"/>
        <w:ind w:left="714" w:hanging="357"/>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Central to ensuring full disclosure of crude oil sales, cargo-by-cargo revenue transfers, and price mechanisms.</w:t>
      </w:r>
    </w:p>
    <w:p w14:paraId="70A77232" w14:textId="1458A165" w:rsidR="001F52D2" w:rsidRPr="00A3573B" w:rsidRDefault="001F52D2" w:rsidP="00FD2B68">
      <w:pPr>
        <w:numPr>
          <w:ilvl w:val="0"/>
          <w:numId w:val="17"/>
        </w:numPr>
        <w:spacing w:before="120" w:after="120" w:line="240" w:lineRule="auto"/>
        <w:ind w:left="714" w:hanging="357"/>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Should disclose domestic sales of crude oil and natural gas, including buyer details and pricing.</w:t>
      </w:r>
    </w:p>
    <w:p w14:paraId="25F75459" w14:textId="77777777" w:rsidR="00255537" w:rsidRPr="00DA19D1" w:rsidRDefault="00255537" w:rsidP="00FD2B68">
      <w:pPr>
        <w:pStyle w:val="ListParagraph"/>
        <w:numPr>
          <w:ilvl w:val="0"/>
          <w:numId w:val="19"/>
        </w:numPr>
        <w:spacing w:before="120" w:after="120" w:line="240" w:lineRule="auto"/>
        <w:ind w:left="426" w:hanging="284"/>
        <w:jc w:val="both"/>
        <w:rPr>
          <w:rFonts w:ascii="Kohinoor Devanagari" w:hAnsi="Kohinoor Devanagari" w:cs="Kohinoor Devanagari"/>
          <w:b/>
          <w:bCs/>
          <w:sz w:val="22"/>
          <w:szCs w:val="22"/>
          <w:lang w:eastAsia="en-GB"/>
        </w:rPr>
      </w:pPr>
      <w:r w:rsidRPr="00DA19D1">
        <w:rPr>
          <w:rFonts w:ascii="Kohinoor Devanagari" w:hAnsi="Kohinoor Devanagari" w:cs="Kohinoor Devanagari"/>
          <w:b/>
          <w:bCs/>
          <w:sz w:val="22"/>
          <w:szCs w:val="22"/>
          <w:lang w:eastAsia="en-GB"/>
        </w:rPr>
        <w:t>Key Challenges:</w:t>
      </w:r>
    </w:p>
    <w:p w14:paraId="7F3FBF96" w14:textId="7A75C365" w:rsidR="001F52D2" w:rsidRPr="00A3573B" w:rsidRDefault="001F52D2" w:rsidP="00FD2B68">
      <w:pPr>
        <w:numPr>
          <w:ilvl w:val="0"/>
          <w:numId w:val="17"/>
        </w:numPr>
        <w:spacing w:before="120" w:after="120" w:line="240" w:lineRule="auto"/>
        <w:ind w:left="714" w:hanging="357"/>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public disclosure of SOEs' retained earnings or intra-SOE transactions.</w:t>
      </w:r>
    </w:p>
    <w:p w14:paraId="7DC4FDA6" w14:textId="1586E3CD" w:rsidR="00815F48" w:rsidRPr="00A3573B" w:rsidRDefault="006140B6" w:rsidP="00FD2B68">
      <w:pPr>
        <w:numPr>
          <w:ilvl w:val="0"/>
          <w:numId w:val="17"/>
        </w:numPr>
        <w:spacing w:before="120" w:after="120" w:line="240" w:lineRule="auto"/>
        <w:ind w:left="714" w:hanging="357"/>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 xml:space="preserve">Systematic disclosure is limited for SOEs </w:t>
      </w:r>
      <w:r w:rsidR="00B200DA" w:rsidRPr="00A3573B">
        <w:rPr>
          <w:rFonts w:ascii="Kohinoor Devanagari" w:hAnsi="Kohinoor Devanagari" w:cs="Kohinoor Devanagari"/>
          <w:sz w:val="22"/>
          <w:szCs w:val="22"/>
          <w:lang w:eastAsia="en-GB"/>
        </w:rPr>
        <w:t>except</w:t>
      </w:r>
      <w:r w:rsidRPr="00A3573B">
        <w:rPr>
          <w:rFonts w:ascii="Kohinoor Devanagari" w:hAnsi="Kohinoor Devanagari" w:cs="Kohinoor Devanagari"/>
          <w:sz w:val="22"/>
          <w:szCs w:val="22"/>
          <w:lang w:eastAsia="en-GB"/>
        </w:rPr>
        <w:t xml:space="preserve"> </w:t>
      </w:r>
      <w:r w:rsidR="00B200DA" w:rsidRPr="00A3573B">
        <w:rPr>
          <w:rFonts w:ascii="Kohinoor Devanagari" w:hAnsi="Kohinoor Devanagari" w:cs="Kohinoor Devanagari"/>
          <w:sz w:val="22"/>
          <w:szCs w:val="22"/>
          <w:lang w:eastAsia="en-GB"/>
        </w:rPr>
        <w:t xml:space="preserve">for </w:t>
      </w:r>
      <w:r w:rsidRPr="00A3573B">
        <w:rPr>
          <w:rFonts w:ascii="Kohinoor Devanagari" w:hAnsi="Kohinoor Devanagari" w:cs="Kohinoor Devanagari"/>
          <w:sz w:val="22"/>
          <w:szCs w:val="22"/>
          <w:lang w:eastAsia="en-GB"/>
        </w:rPr>
        <w:t>the SOMO.</w:t>
      </w:r>
    </w:p>
    <w:p w14:paraId="2C394B52" w14:textId="6605CEE0" w:rsidR="006C083E" w:rsidRPr="00A3573B" w:rsidRDefault="006C083E" w:rsidP="00FD2B68">
      <w:pPr>
        <w:pStyle w:val="Heading3"/>
        <w:numPr>
          <w:ilvl w:val="2"/>
          <w:numId w:val="74"/>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 xml:space="preserve">The Federal Board of Supreme Audit (FBSA) </w:t>
      </w:r>
    </w:p>
    <w:p w14:paraId="2D0B5B5D" w14:textId="77777777" w:rsidR="006C083E" w:rsidRPr="00A3573B" w:rsidRDefault="006C083E"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The Federal Board of Supreme Audit (FBSA) is Iraq’s highest audit authority, responsible for monitoring public sector finances, including extractive revenues and expenditures.</w:t>
      </w:r>
    </w:p>
    <w:p w14:paraId="27BCB8B5" w14:textId="62745F63" w:rsidR="006C083E" w:rsidRPr="00DA19D1" w:rsidRDefault="006C083E" w:rsidP="00FD2B68">
      <w:pPr>
        <w:pStyle w:val="ListParagraph"/>
        <w:numPr>
          <w:ilvl w:val="0"/>
          <w:numId w:val="19"/>
        </w:numPr>
        <w:spacing w:before="120" w:after="120" w:line="240" w:lineRule="auto"/>
        <w:ind w:left="426" w:hanging="284"/>
        <w:jc w:val="both"/>
        <w:rPr>
          <w:rFonts w:ascii="Kohinoor Devanagari" w:hAnsi="Kohinoor Devanagari" w:cs="Kohinoor Devanagari"/>
          <w:b/>
          <w:bCs/>
          <w:sz w:val="22"/>
          <w:szCs w:val="22"/>
          <w:lang w:eastAsia="en-GB"/>
        </w:rPr>
      </w:pPr>
      <w:r w:rsidRPr="00DA19D1">
        <w:rPr>
          <w:rFonts w:ascii="Kohinoor Devanagari" w:hAnsi="Kohinoor Devanagari" w:cs="Kohinoor Devanagari"/>
          <w:b/>
          <w:bCs/>
          <w:sz w:val="22"/>
          <w:szCs w:val="22"/>
          <w:lang w:eastAsia="en-GB"/>
        </w:rPr>
        <w:t>Key Responsibilities:</w:t>
      </w:r>
    </w:p>
    <w:p w14:paraId="0E06BAE5" w14:textId="77777777" w:rsidR="006C083E" w:rsidRPr="00DA19D1" w:rsidRDefault="006C083E" w:rsidP="00FD2B68">
      <w:pPr>
        <w:numPr>
          <w:ilvl w:val="0"/>
          <w:numId w:val="21"/>
        </w:numPr>
        <w:spacing w:before="120" w:after="120" w:line="240" w:lineRule="auto"/>
        <w:jc w:val="both"/>
        <w:rPr>
          <w:rFonts w:ascii="Kohinoor Devanagari" w:hAnsi="Kohinoor Devanagari" w:cs="Kohinoor Devanagari"/>
          <w:sz w:val="22"/>
          <w:szCs w:val="22"/>
          <w:lang w:eastAsia="en-GB"/>
        </w:rPr>
      </w:pPr>
      <w:r w:rsidRPr="00DA19D1">
        <w:rPr>
          <w:rFonts w:ascii="Kohinoor Devanagari" w:hAnsi="Kohinoor Devanagari" w:cs="Kohinoor Devanagari"/>
          <w:sz w:val="22"/>
          <w:szCs w:val="22"/>
          <w:lang w:eastAsia="en-GB"/>
        </w:rPr>
        <w:t>Auditing state financial statements, including extractive industry revenues.</w:t>
      </w:r>
    </w:p>
    <w:p w14:paraId="333C8D14" w14:textId="77777777" w:rsidR="006C083E" w:rsidRPr="00DA19D1" w:rsidRDefault="006C083E" w:rsidP="00FD2B68">
      <w:pPr>
        <w:numPr>
          <w:ilvl w:val="0"/>
          <w:numId w:val="21"/>
        </w:numPr>
        <w:spacing w:before="120" w:after="120" w:line="240" w:lineRule="auto"/>
        <w:jc w:val="both"/>
        <w:rPr>
          <w:rFonts w:ascii="Kohinoor Devanagari" w:hAnsi="Kohinoor Devanagari" w:cs="Kohinoor Devanagari"/>
          <w:sz w:val="22"/>
          <w:szCs w:val="22"/>
          <w:lang w:eastAsia="en-GB"/>
        </w:rPr>
      </w:pPr>
      <w:r w:rsidRPr="00DA19D1">
        <w:rPr>
          <w:rFonts w:ascii="Kohinoor Devanagari" w:hAnsi="Kohinoor Devanagari" w:cs="Kohinoor Devanagari"/>
          <w:sz w:val="22"/>
          <w:szCs w:val="22"/>
          <w:lang w:eastAsia="en-GB"/>
        </w:rPr>
        <w:t>Ensuring transparency in financial management and public expenditures.</w:t>
      </w:r>
    </w:p>
    <w:p w14:paraId="34FD0059" w14:textId="77777777" w:rsidR="006C083E" w:rsidRPr="00DA19D1" w:rsidRDefault="006C083E" w:rsidP="00FD2B68">
      <w:pPr>
        <w:numPr>
          <w:ilvl w:val="0"/>
          <w:numId w:val="21"/>
        </w:numPr>
        <w:spacing w:before="120" w:after="120" w:line="240" w:lineRule="auto"/>
        <w:jc w:val="both"/>
        <w:rPr>
          <w:rFonts w:ascii="Kohinoor Devanagari" w:hAnsi="Kohinoor Devanagari" w:cs="Kohinoor Devanagari"/>
          <w:sz w:val="22"/>
          <w:szCs w:val="22"/>
          <w:lang w:eastAsia="en-GB"/>
        </w:rPr>
      </w:pPr>
      <w:r w:rsidRPr="00DA19D1">
        <w:rPr>
          <w:rFonts w:ascii="Kohinoor Devanagari" w:hAnsi="Kohinoor Devanagari" w:cs="Kohinoor Devanagari"/>
          <w:sz w:val="22"/>
          <w:szCs w:val="22"/>
          <w:lang w:eastAsia="en-GB"/>
        </w:rPr>
        <w:t>Reviewing oil revenue flows and SOE financial operations.</w:t>
      </w:r>
    </w:p>
    <w:p w14:paraId="2D3AF0AE" w14:textId="77777777" w:rsidR="00F939AE" w:rsidRPr="00DA19D1" w:rsidRDefault="006C083E" w:rsidP="00FD2B68">
      <w:pPr>
        <w:pStyle w:val="ListParagraph"/>
        <w:numPr>
          <w:ilvl w:val="0"/>
          <w:numId w:val="19"/>
        </w:numPr>
        <w:spacing w:before="120" w:after="120" w:line="240" w:lineRule="auto"/>
        <w:ind w:left="426" w:hanging="284"/>
        <w:jc w:val="both"/>
        <w:rPr>
          <w:rFonts w:ascii="Kohinoor Devanagari" w:hAnsi="Kohinoor Devanagari" w:cs="Kohinoor Devanagari"/>
          <w:b/>
          <w:bCs/>
          <w:sz w:val="22"/>
          <w:szCs w:val="22"/>
          <w:lang w:eastAsia="en-GB"/>
        </w:rPr>
      </w:pPr>
      <w:r w:rsidRPr="00DA19D1">
        <w:rPr>
          <w:rFonts w:ascii="Kohinoor Devanagari" w:hAnsi="Kohinoor Devanagari" w:cs="Kohinoor Devanagari"/>
          <w:b/>
          <w:bCs/>
          <w:sz w:val="22"/>
          <w:szCs w:val="22"/>
          <w:lang w:eastAsia="en-GB"/>
        </w:rPr>
        <w:t>Relevance to Systematic Disclosure:</w:t>
      </w:r>
    </w:p>
    <w:p w14:paraId="4374F358" w14:textId="6B22B306" w:rsidR="00F939AE" w:rsidRPr="00A3573B" w:rsidRDefault="006C083E" w:rsidP="00FD2B68">
      <w:pPr>
        <w:numPr>
          <w:ilvl w:val="0"/>
          <w:numId w:val="21"/>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Plays a crucial role in validating financial disclosures and ensuring accuracy.</w:t>
      </w:r>
    </w:p>
    <w:p w14:paraId="69032621" w14:textId="567AE375" w:rsidR="006C083E" w:rsidRPr="00A3573B" w:rsidRDefault="006C083E" w:rsidP="00FD2B68">
      <w:pPr>
        <w:numPr>
          <w:ilvl w:val="0"/>
          <w:numId w:val="21"/>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Can enhance credibility by publishing independent audits of extractive sector finances.</w:t>
      </w:r>
    </w:p>
    <w:p w14:paraId="46B51806" w14:textId="77777777" w:rsidR="00DC14AE" w:rsidRPr="00C958DD" w:rsidRDefault="00DC14AE">
      <w:pPr>
        <w:rPr>
          <w:rFonts w:ascii="Kohinoor Devanagari" w:hAnsi="Kohinoor Devanagari" w:cs="Kohinoor Devanagari"/>
          <w:b/>
          <w:bCs/>
          <w:sz w:val="22"/>
          <w:szCs w:val="22"/>
          <w:lang w:eastAsia="en-GB"/>
        </w:rPr>
      </w:pPr>
      <w:r w:rsidRPr="00C958DD">
        <w:rPr>
          <w:rFonts w:ascii="Kohinoor Devanagari" w:hAnsi="Kohinoor Devanagari" w:cs="Kohinoor Devanagari"/>
          <w:b/>
          <w:bCs/>
          <w:sz w:val="22"/>
          <w:szCs w:val="22"/>
          <w:lang w:eastAsia="en-GB"/>
        </w:rPr>
        <w:br w:type="page"/>
      </w:r>
    </w:p>
    <w:p w14:paraId="76DE8CF2" w14:textId="6F846F77" w:rsidR="00F939AE" w:rsidRPr="00DA19D1" w:rsidRDefault="00255537" w:rsidP="00FD2B68">
      <w:pPr>
        <w:pStyle w:val="ListParagraph"/>
        <w:numPr>
          <w:ilvl w:val="0"/>
          <w:numId w:val="19"/>
        </w:numPr>
        <w:spacing w:before="120" w:after="120" w:line="240" w:lineRule="auto"/>
        <w:ind w:left="426" w:hanging="284"/>
        <w:jc w:val="both"/>
        <w:rPr>
          <w:rFonts w:ascii="Kohinoor Devanagari" w:hAnsi="Kohinoor Devanagari" w:cs="Kohinoor Devanagari"/>
          <w:b/>
          <w:bCs/>
          <w:sz w:val="22"/>
          <w:szCs w:val="22"/>
          <w:lang w:eastAsia="en-GB"/>
        </w:rPr>
      </w:pPr>
      <w:r w:rsidRPr="00DA19D1">
        <w:rPr>
          <w:rFonts w:ascii="Kohinoor Devanagari" w:hAnsi="Kohinoor Devanagari" w:cs="Kohinoor Devanagari"/>
          <w:b/>
          <w:bCs/>
          <w:sz w:val="22"/>
          <w:szCs w:val="22"/>
          <w:lang w:eastAsia="en-GB"/>
        </w:rPr>
        <w:t xml:space="preserve">Key </w:t>
      </w:r>
      <w:r w:rsidR="006C083E" w:rsidRPr="00DA19D1">
        <w:rPr>
          <w:rFonts w:ascii="Kohinoor Devanagari" w:hAnsi="Kohinoor Devanagari" w:cs="Kohinoor Devanagari"/>
          <w:b/>
          <w:bCs/>
          <w:sz w:val="22"/>
          <w:szCs w:val="22"/>
          <w:lang w:eastAsia="en-GB"/>
        </w:rPr>
        <w:t>Challenges:</w:t>
      </w:r>
    </w:p>
    <w:p w14:paraId="61E75935" w14:textId="77777777" w:rsidR="00F939AE" w:rsidRPr="00A3573B" w:rsidRDefault="006C083E" w:rsidP="00FD2B68">
      <w:pPr>
        <w:numPr>
          <w:ilvl w:val="0"/>
          <w:numId w:val="21"/>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Delays in public sector audits, leading to gaps in revenue reporting.</w:t>
      </w:r>
    </w:p>
    <w:p w14:paraId="38DAAAFD" w14:textId="1D4785CB" w:rsidR="006C083E" w:rsidRPr="00A3573B" w:rsidRDefault="006C083E" w:rsidP="00FD2B68">
      <w:pPr>
        <w:numPr>
          <w:ilvl w:val="0"/>
          <w:numId w:val="21"/>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systematic public disclosure of audit findings on extractive revenues.</w:t>
      </w:r>
    </w:p>
    <w:p w14:paraId="3824776A" w14:textId="6DABF944" w:rsidR="00F3659B" w:rsidRPr="00A3573B" w:rsidRDefault="00F3659B" w:rsidP="00FD2B68">
      <w:pPr>
        <w:pStyle w:val="Heading3"/>
        <w:numPr>
          <w:ilvl w:val="2"/>
          <w:numId w:val="74"/>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Other key</w:t>
      </w:r>
      <w:r w:rsidR="00A97253" w:rsidRPr="00A3573B">
        <w:rPr>
          <w:rFonts w:ascii="Kohinoor Devanagari" w:hAnsi="Kohinoor Devanagari" w:cs="Kohinoor Devanagari"/>
          <w:b/>
          <w:bCs/>
          <w:sz w:val="22"/>
          <w:szCs w:val="22"/>
          <w:lang w:eastAsia="en-GB"/>
        </w:rPr>
        <w:t xml:space="preserve"> Institutional actors</w:t>
      </w:r>
      <w:r w:rsidR="003918EB" w:rsidRPr="00811BA9">
        <w:rPr>
          <w:rFonts w:ascii="Kohinoor Devanagari" w:hAnsi="Kohinoor Devanagari" w:cs="Kohinoor Devanagari"/>
          <w:b/>
          <w:bCs/>
          <w:sz w:val="22"/>
          <w:szCs w:val="22"/>
          <w:lang w:eastAsia="en-GB"/>
        </w:rPr>
        <w:footnoteReference w:id="3"/>
      </w:r>
    </w:p>
    <w:p w14:paraId="1B3C9A1D" w14:textId="449A912A" w:rsidR="006C083E" w:rsidRPr="00A3573B" w:rsidRDefault="000E3687"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For Iraq to successfully implement a systematic disclosure policy in the extractive sector, several government institutions beyond sector-specific regulators must be involved. These entities oversee digital governance, open data policies, and financial oversight, which are essential for ensuring real-time, structured, and automated disclosure of extractive industry data.</w:t>
      </w:r>
    </w:p>
    <w:p w14:paraId="3ACA3B34" w14:textId="2CA2693C" w:rsidR="000E3687" w:rsidRPr="00A3573B" w:rsidRDefault="000E3687" w:rsidP="00FD2B68">
      <w:pPr>
        <w:pStyle w:val="ListParagraph"/>
        <w:numPr>
          <w:ilvl w:val="0"/>
          <w:numId w:val="23"/>
        </w:numPr>
        <w:spacing w:before="120" w:after="120" w:line="240" w:lineRule="auto"/>
        <w:ind w:left="709" w:hanging="349"/>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 xml:space="preserve">Council of Ministers Secretariat (COMSEC) </w:t>
      </w:r>
    </w:p>
    <w:p w14:paraId="5B4128BE" w14:textId="77777777" w:rsidR="00CB6A40" w:rsidRPr="00A3573B" w:rsidRDefault="00CB6A40" w:rsidP="00CB6A40">
      <w:pPr>
        <w:pStyle w:val="ListParagraph"/>
        <w:spacing w:before="120" w:after="120" w:line="240" w:lineRule="auto"/>
        <w:ind w:left="709"/>
        <w:jc w:val="both"/>
        <w:rPr>
          <w:rFonts w:ascii="Kohinoor Devanagari" w:hAnsi="Kohinoor Devanagari" w:cs="Kohinoor Devanagari"/>
          <w:b/>
          <w:bCs/>
          <w:sz w:val="22"/>
          <w:szCs w:val="22"/>
          <w:lang w:eastAsia="en-GB"/>
        </w:rPr>
      </w:pPr>
    </w:p>
    <w:p w14:paraId="7B4E1EAA" w14:textId="3760FE1D" w:rsidR="000E3687" w:rsidRPr="00DA19D1" w:rsidRDefault="000E3687" w:rsidP="00FD2B68">
      <w:pPr>
        <w:pStyle w:val="ListParagraph"/>
        <w:numPr>
          <w:ilvl w:val="0"/>
          <w:numId w:val="19"/>
        </w:numPr>
        <w:spacing w:before="120" w:after="120" w:line="240" w:lineRule="auto"/>
        <w:ind w:left="426" w:hanging="284"/>
        <w:jc w:val="both"/>
        <w:rPr>
          <w:rFonts w:ascii="Kohinoor Devanagari" w:hAnsi="Kohinoor Devanagari" w:cs="Kohinoor Devanagari"/>
          <w:b/>
          <w:bCs/>
          <w:sz w:val="22"/>
          <w:szCs w:val="22"/>
          <w:lang w:eastAsia="en-GB"/>
        </w:rPr>
      </w:pPr>
      <w:r w:rsidRPr="00DA19D1">
        <w:rPr>
          <w:rFonts w:ascii="Kohinoor Devanagari" w:hAnsi="Kohinoor Devanagari" w:cs="Kohinoor Devanagari"/>
          <w:b/>
          <w:bCs/>
          <w:sz w:val="22"/>
          <w:szCs w:val="22"/>
          <w:lang w:eastAsia="en-GB"/>
        </w:rPr>
        <w:t>Key Responsibilities:</w:t>
      </w:r>
    </w:p>
    <w:p w14:paraId="7EFB6BB8" w14:textId="77777777" w:rsidR="000E3687" w:rsidRPr="00A3573B" w:rsidRDefault="000E3687" w:rsidP="00FD2B68">
      <w:pPr>
        <w:numPr>
          <w:ilvl w:val="0"/>
          <w:numId w:val="22"/>
        </w:numPr>
        <w:spacing w:before="120" w:after="120" w:line="240" w:lineRule="auto"/>
        <w:ind w:left="714" w:hanging="357"/>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Acts as the central executive body responsible for policy implementation across government institutions.</w:t>
      </w:r>
    </w:p>
    <w:p w14:paraId="0E607DBD" w14:textId="77777777" w:rsidR="000E3687" w:rsidRPr="00A3573B" w:rsidRDefault="000E3687" w:rsidP="00FD2B68">
      <w:pPr>
        <w:numPr>
          <w:ilvl w:val="0"/>
          <w:numId w:val="22"/>
        </w:numPr>
        <w:spacing w:before="120" w:after="120" w:line="240" w:lineRule="auto"/>
        <w:ind w:left="714" w:hanging="357"/>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Oversees major governance reforms, including public financial management and digital transformation.</w:t>
      </w:r>
    </w:p>
    <w:p w14:paraId="26C473EF" w14:textId="25D83DAD" w:rsidR="000E3687" w:rsidRPr="00A3573B" w:rsidRDefault="000E3687" w:rsidP="00FD2B68">
      <w:pPr>
        <w:numPr>
          <w:ilvl w:val="0"/>
          <w:numId w:val="22"/>
        </w:numPr>
        <w:spacing w:before="120" w:after="120" w:line="240" w:lineRule="auto"/>
        <w:ind w:left="714" w:hanging="357"/>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 xml:space="preserve">Directly supervises </w:t>
      </w:r>
      <w:r w:rsidR="008330E9" w:rsidRPr="00A3573B">
        <w:rPr>
          <w:rFonts w:ascii="Kohinoor Devanagari" w:hAnsi="Kohinoor Devanagari" w:cs="Kohinoor Devanagari"/>
          <w:sz w:val="22"/>
          <w:szCs w:val="22"/>
          <w:lang w:eastAsia="en-GB"/>
        </w:rPr>
        <w:t>e E-Government Steering Committee (also named Committee 22)</w:t>
      </w:r>
      <w:r w:rsidRPr="00A3573B">
        <w:rPr>
          <w:rFonts w:ascii="Kohinoor Devanagari" w:hAnsi="Kohinoor Devanagari" w:cs="Kohinoor Devanagari"/>
          <w:sz w:val="22"/>
          <w:szCs w:val="22"/>
          <w:lang w:eastAsia="en-GB"/>
        </w:rPr>
        <w:t>, which develops digital governance strategies.</w:t>
      </w:r>
    </w:p>
    <w:p w14:paraId="59E8BF2B" w14:textId="77777777" w:rsidR="000E3687" w:rsidRPr="00DA19D1" w:rsidRDefault="000E3687" w:rsidP="00FD2B68">
      <w:pPr>
        <w:pStyle w:val="ListParagraph"/>
        <w:numPr>
          <w:ilvl w:val="0"/>
          <w:numId w:val="19"/>
        </w:numPr>
        <w:spacing w:before="120" w:after="120" w:line="240" w:lineRule="auto"/>
        <w:ind w:left="426" w:hanging="284"/>
        <w:jc w:val="both"/>
        <w:rPr>
          <w:rFonts w:ascii="Kohinoor Devanagari" w:hAnsi="Kohinoor Devanagari" w:cs="Kohinoor Devanagari"/>
          <w:b/>
          <w:bCs/>
          <w:sz w:val="22"/>
          <w:szCs w:val="22"/>
          <w:lang w:eastAsia="en-GB"/>
        </w:rPr>
      </w:pPr>
      <w:r w:rsidRPr="00DA19D1">
        <w:rPr>
          <w:rFonts w:ascii="Kohinoor Devanagari" w:hAnsi="Kohinoor Devanagari" w:cs="Kohinoor Devanagari"/>
          <w:b/>
          <w:bCs/>
          <w:sz w:val="22"/>
          <w:szCs w:val="22"/>
          <w:lang w:eastAsia="en-GB"/>
        </w:rPr>
        <w:t>Relevance for Systematic Disclosure:</w:t>
      </w:r>
    </w:p>
    <w:p w14:paraId="231ADE94" w14:textId="77777777" w:rsidR="000E3687" w:rsidRPr="00DA19D1" w:rsidRDefault="000E3687" w:rsidP="00FD2B68">
      <w:pPr>
        <w:numPr>
          <w:ilvl w:val="0"/>
          <w:numId w:val="21"/>
        </w:numPr>
        <w:spacing w:before="120" w:after="120" w:line="240" w:lineRule="auto"/>
        <w:jc w:val="both"/>
        <w:rPr>
          <w:rFonts w:ascii="Kohinoor Devanagari" w:hAnsi="Kohinoor Devanagari" w:cs="Kohinoor Devanagari"/>
          <w:sz w:val="22"/>
          <w:szCs w:val="22"/>
          <w:lang w:eastAsia="en-GB"/>
        </w:rPr>
      </w:pPr>
      <w:r w:rsidRPr="00DA19D1">
        <w:rPr>
          <w:rFonts w:ascii="Kohinoor Devanagari" w:hAnsi="Kohinoor Devanagari" w:cs="Kohinoor Devanagari"/>
          <w:sz w:val="22"/>
          <w:szCs w:val="22"/>
          <w:lang w:eastAsia="en-GB"/>
        </w:rPr>
        <w:t>Can provide high-level political backing for systematic extractive data disclosure.</w:t>
      </w:r>
    </w:p>
    <w:p w14:paraId="20CBF92A" w14:textId="77777777" w:rsidR="000E3687" w:rsidRPr="00DA19D1" w:rsidRDefault="000E3687" w:rsidP="00FD2B68">
      <w:pPr>
        <w:numPr>
          <w:ilvl w:val="0"/>
          <w:numId w:val="21"/>
        </w:numPr>
        <w:spacing w:before="120" w:after="120" w:line="240" w:lineRule="auto"/>
        <w:jc w:val="both"/>
        <w:rPr>
          <w:rFonts w:ascii="Kohinoor Devanagari" w:hAnsi="Kohinoor Devanagari" w:cs="Kohinoor Devanagari"/>
          <w:sz w:val="22"/>
          <w:szCs w:val="22"/>
          <w:lang w:eastAsia="en-GB"/>
        </w:rPr>
      </w:pPr>
      <w:r w:rsidRPr="00DA19D1">
        <w:rPr>
          <w:rFonts w:ascii="Kohinoor Devanagari" w:hAnsi="Kohinoor Devanagari" w:cs="Kohinoor Devanagari"/>
          <w:sz w:val="22"/>
          <w:szCs w:val="22"/>
          <w:lang w:eastAsia="en-GB"/>
        </w:rPr>
        <w:t>Plays a crucial role in integrating extractive sector transparency into broader governance reforms.</w:t>
      </w:r>
    </w:p>
    <w:p w14:paraId="59A05B1C" w14:textId="15D6518D" w:rsidR="000E3687" w:rsidRPr="00DA19D1" w:rsidRDefault="000E3687" w:rsidP="00FD2B68">
      <w:pPr>
        <w:numPr>
          <w:ilvl w:val="0"/>
          <w:numId w:val="21"/>
        </w:numPr>
        <w:spacing w:before="120" w:after="120" w:line="240" w:lineRule="auto"/>
        <w:jc w:val="both"/>
        <w:rPr>
          <w:rFonts w:ascii="Kohinoor Devanagari" w:hAnsi="Kohinoor Devanagari" w:cs="Kohinoor Devanagari"/>
          <w:sz w:val="22"/>
          <w:szCs w:val="22"/>
          <w:lang w:eastAsia="en-GB"/>
        </w:rPr>
      </w:pPr>
      <w:r w:rsidRPr="00DA19D1">
        <w:rPr>
          <w:rFonts w:ascii="Kohinoor Devanagari" w:hAnsi="Kohinoor Devanagari" w:cs="Kohinoor Devanagari"/>
          <w:sz w:val="22"/>
          <w:szCs w:val="22"/>
          <w:lang w:eastAsia="en-GB"/>
        </w:rPr>
        <w:t xml:space="preserve">Supervises inter-agency coordination, ensuring </w:t>
      </w:r>
      <w:proofErr w:type="spellStart"/>
      <w:r w:rsidRPr="00DA19D1">
        <w:rPr>
          <w:rFonts w:ascii="Kohinoor Devanagari" w:hAnsi="Kohinoor Devanagari" w:cs="Kohinoor Devanagari"/>
          <w:sz w:val="22"/>
          <w:szCs w:val="22"/>
          <w:lang w:eastAsia="en-GB"/>
        </w:rPr>
        <w:t>MoO</w:t>
      </w:r>
      <w:proofErr w:type="spellEnd"/>
      <w:r w:rsidRPr="00DA19D1">
        <w:rPr>
          <w:rFonts w:ascii="Kohinoor Devanagari" w:hAnsi="Kohinoor Devanagari" w:cs="Kohinoor Devanagari"/>
          <w:sz w:val="22"/>
          <w:szCs w:val="22"/>
          <w:lang w:eastAsia="en-GB"/>
        </w:rPr>
        <w:t>, MoF</w:t>
      </w:r>
      <w:r w:rsidR="00255537" w:rsidRPr="00DA19D1">
        <w:rPr>
          <w:rFonts w:ascii="Kohinoor Devanagari" w:hAnsi="Kohinoor Devanagari" w:cs="Kohinoor Devanagari"/>
          <w:sz w:val="22"/>
          <w:szCs w:val="22"/>
          <w:lang w:eastAsia="en-GB"/>
        </w:rPr>
        <w:t xml:space="preserve"> and SOE </w:t>
      </w:r>
      <w:r w:rsidRPr="00DA19D1">
        <w:rPr>
          <w:rFonts w:ascii="Kohinoor Devanagari" w:hAnsi="Kohinoor Devanagari" w:cs="Kohinoor Devanagari"/>
          <w:sz w:val="22"/>
          <w:szCs w:val="22"/>
          <w:lang w:eastAsia="en-GB"/>
        </w:rPr>
        <w:t>align with digital disclosure strategies.</w:t>
      </w:r>
    </w:p>
    <w:p w14:paraId="22CAD180" w14:textId="0CD4B9B8" w:rsidR="00255537" w:rsidRPr="00DA19D1" w:rsidRDefault="000E3687" w:rsidP="00FD2B68">
      <w:pPr>
        <w:pStyle w:val="ListParagraph"/>
        <w:numPr>
          <w:ilvl w:val="0"/>
          <w:numId w:val="19"/>
        </w:numPr>
        <w:spacing w:before="120" w:after="120" w:line="240" w:lineRule="auto"/>
        <w:ind w:left="426" w:hanging="284"/>
        <w:jc w:val="both"/>
        <w:rPr>
          <w:rFonts w:ascii="Kohinoor Devanagari" w:hAnsi="Kohinoor Devanagari" w:cs="Kohinoor Devanagari"/>
          <w:b/>
          <w:bCs/>
          <w:sz w:val="22"/>
          <w:szCs w:val="22"/>
          <w:lang w:eastAsia="en-GB"/>
        </w:rPr>
      </w:pPr>
      <w:r w:rsidRPr="00DA19D1">
        <w:rPr>
          <w:rFonts w:ascii="Kohinoor Devanagari" w:hAnsi="Kohinoor Devanagari" w:cs="Kohinoor Devanagari"/>
          <w:b/>
          <w:bCs/>
          <w:sz w:val="22"/>
          <w:szCs w:val="22"/>
          <w:lang w:eastAsia="en-GB"/>
        </w:rPr>
        <w:t>Key Challenges:</w:t>
      </w:r>
    </w:p>
    <w:p w14:paraId="5D6B323B" w14:textId="77777777" w:rsidR="00255537" w:rsidRPr="00A3573B" w:rsidRDefault="000E3687" w:rsidP="00FD2B68">
      <w:pPr>
        <w:numPr>
          <w:ilvl w:val="0"/>
          <w:numId w:val="21"/>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Extractive sector transparency is not currently a structured priority within COMSEC’s digital governance agenda.</w:t>
      </w:r>
    </w:p>
    <w:p w14:paraId="77D41F5B" w14:textId="04341736" w:rsidR="000E3687" w:rsidRPr="00A3573B" w:rsidRDefault="000E3687" w:rsidP="00FD2B68">
      <w:pPr>
        <w:numPr>
          <w:ilvl w:val="0"/>
          <w:numId w:val="21"/>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Weak enforcement mechanisms to ensure systematic disclosure compliance across ministries.</w:t>
      </w:r>
    </w:p>
    <w:p w14:paraId="187FA8F9" w14:textId="77777777" w:rsidR="00DC14AE" w:rsidRDefault="00DC14AE">
      <w:pPr>
        <w:rPr>
          <w:rFonts w:ascii="Kohinoor Devanagari" w:hAnsi="Kohinoor Devanagari" w:cs="Kohinoor Devanagari"/>
          <w:b/>
          <w:bCs/>
          <w:sz w:val="22"/>
          <w:szCs w:val="22"/>
          <w:lang w:eastAsia="en-GB"/>
        </w:rPr>
      </w:pPr>
      <w:r>
        <w:rPr>
          <w:rFonts w:ascii="Kohinoor Devanagari" w:hAnsi="Kohinoor Devanagari" w:cs="Kohinoor Devanagari"/>
          <w:b/>
          <w:bCs/>
          <w:sz w:val="22"/>
          <w:szCs w:val="22"/>
          <w:lang w:eastAsia="en-GB"/>
        </w:rPr>
        <w:br w:type="page"/>
      </w:r>
    </w:p>
    <w:p w14:paraId="3A75E598" w14:textId="2C677852" w:rsidR="003601DF" w:rsidRPr="00A3573B" w:rsidRDefault="003601DF" w:rsidP="00FD2B68">
      <w:pPr>
        <w:pStyle w:val="ListParagraph"/>
        <w:numPr>
          <w:ilvl w:val="0"/>
          <w:numId w:val="23"/>
        </w:numPr>
        <w:spacing w:before="120" w:after="120" w:line="240" w:lineRule="auto"/>
        <w:ind w:left="709" w:hanging="349"/>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E-Government Steering Committee</w:t>
      </w:r>
    </w:p>
    <w:p w14:paraId="70A40725" w14:textId="77777777" w:rsidR="008B5248" w:rsidRPr="00A3573B" w:rsidRDefault="008B5248" w:rsidP="00C33FCF">
      <w:pPr>
        <w:pStyle w:val="ListParagraph"/>
        <w:spacing w:before="120" w:after="120" w:line="240" w:lineRule="auto"/>
        <w:ind w:left="709"/>
        <w:jc w:val="both"/>
        <w:rPr>
          <w:rFonts w:ascii="Kohinoor Devanagari" w:hAnsi="Kohinoor Devanagari" w:cs="Kohinoor Devanagari"/>
          <w:b/>
          <w:bCs/>
          <w:sz w:val="22"/>
          <w:szCs w:val="22"/>
          <w:lang w:eastAsia="en-GB"/>
        </w:rPr>
      </w:pPr>
    </w:p>
    <w:p w14:paraId="57F5D295" w14:textId="48B2B19A" w:rsidR="003601DF" w:rsidRPr="00DA19D1" w:rsidRDefault="003601DF" w:rsidP="00FD2B68">
      <w:pPr>
        <w:pStyle w:val="ListParagraph"/>
        <w:numPr>
          <w:ilvl w:val="0"/>
          <w:numId w:val="19"/>
        </w:numPr>
        <w:spacing w:before="120" w:after="120" w:line="240" w:lineRule="auto"/>
        <w:ind w:left="426" w:hanging="284"/>
        <w:jc w:val="both"/>
        <w:rPr>
          <w:rFonts w:ascii="Kohinoor Devanagari" w:hAnsi="Kohinoor Devanagari" w:cs="Kohinoor Devanagari"/>
          <w:b/>
          <w:bCs/>
          <w:sz w:val="22"/>
          <w:szCs w:val="22"/>
          <w:lang w:eastAsia="en-GB"/>
        </w:rPr>
      </w:pPr>
      <w:r w:rsidRPr="00DA19D1">
        <w:rPr>
          <w:rFonts w:ascii="Kohinoor Devanagari" w:hAnsi="Kohinoor Devanagari" w:cs="Kohinoor Devanagari"/>
          <w:b/>
          <w:bCs/>
          <w:sz w:val="22"/>
          <w:szCs w:val="22"/>
          <w:lang w:eastAsia="en-GB"/>
        </w:rPr>
        <w:t>Key Responsibilities:</w:t>
      </w:r>
    </w:p>
    <w:p w14:paraId="0C9C7A38" w14:textId="77777777" w:rsidR="003601DF" w:rsidRPr="00DA19D1" w:rsidRDefault="003601DF" w:rsidP="00FD2B68">
      <w:pPr>
        <w:numPr>
          <w:ilvl w:val="0"/>
          <w:numId w:val="24"/>
        </w:numPr>
        <w:spacing w:before="120" w:after="120" w:line="240" w:lineRule="auto"/>
        <w:jc w:val="both"/>
        <w:rPr>
          <w:rFonts w:ascii="Kohinoor Devanagari" w:hAnsi="Kohinoor Devanagari" w:cs="Kohinoor Devanagari"/>
          <w:sz w:val="22"/>
          <w:szCs w:val="22"/>
          <w:lang w:eastAsia="en-GB"/>
        </w:rPr>
      </w:pPr>
      <w:r w:rsidRPr="00DA19D1">
        <w:rPr>
          <w:rFonts w:ascii="Kohinoor Devanagari" w:hAnsi="Kohinoor Devanagari" w:cs="Kohinoor Devanagari"/>
          <w:sz w:val="22"/>
          <w:szCs w:val="22"/>
          <w:lang w:eastAsia="en-GB"/>
        </w:rPr>
        <w:t>Develops Iraq’s digital transformation strategies and inter-agency IT infrastructure.</w:t>
      </w:r>
    </w:p>
    <w:p w14:paraId="6A0972E2" w14:textId="77777777" w:rsidR="003601DF" w:rsidRPr="00DA19D1" w:rsidRDefault="003601DF" w:rsidP="00FD2B68">
      <w:pPr>
        <w:numPr>
          <w:ilvl w:val="0"/>
          <w:numId w:val="24"/>
        </w:numPr>
        <w:spacing w:before="120" w:after="120" w:line="240" w:lineRule="auto"/>
        <w:jc w:val="both"/>
        <w:rPr>
          <w:rFonts w:ascii="Kohinoor Devanagari" w:hAnsi="Kohinoor Devanagari" w:cs="Kohinoor Devanagari"/>
          <w:sz w:val="22"/>
          <w:szCs w:val="22"/>
          <w:lang w:eastAsia="en-GB"/>
        </w:rPr>
      </w:pPr>
      <w:r w:rsidRPr="00DA19D1">
        <w:rPr>
          <w:rFonts w:ascii="Kohinoor Devanagari" w:hAnsi="Kohinoor Devanagari" w:cs="Kohinoor Devanagari"/>
          <w:sz w:val="22"/>
          <w:szCs w:val="22"/>
          <w:lang w:eastAsia="en-GB"/>
        </w:rPr>
        <w:t>Manages the National Strategic Data Sharing Plan (2021-2023).</w:t>
      </w:r>
    </w:p>
    <w:p w14:paraId="07893F51" w14:textId="77777777" w:rsidR="003601DF" w:rsidRPr="00DA19D1" w:rsidRDefault="003601DF" w:rsidP="00FD2B68">
      <w:pPr>
        <w:numPr>
          <w:ilvl w:val="0"/>
          <w:numId w:val="24"/>
        </w:numPr>
        <w:spacing w:before="120" w:after="120" w:line="240" w:lineRule="auto"/>
        <w:jc w:val="both"/>
        <w:rPr>
          <w:rFonts w:ascii="Kohinoor Devanagari" w:hAnsi="Kohinoor Devanagari" w:cs="Kohinoor Devanagari"/>
          <w:sz w:val="22"/>
          <w:szCs w:val="22"/>
          <w:lang w:eastAsia="en-GB"/>
        </w:rPr>
      </w:pPr>
      <w:r w:rsidRPr="00DA19D1">
        <w:rPr>
          <w:rFonts w:ascii="Kohinoor Devanagari" w:hAnsi="Kohinoor Devanagari" w:cs="Kohinoor Devanagari"/>
          <w:sz w:val="22"/>
          <w:szCs w:val="22"/>
          <w:lang w:eastAsia="en-GB"/>
        </w:rPr>
        <w:t>Oversees government-wide digitalization, including open data and electronic payment systems.</w:t>
      </w:r>
    </w:p>
    <w:p w14:paraId="71422656" w14:textId="61AB9F32" w:rsidR="003601DF" w:rsidRPr="00DA19D1" w:rsidRDefault="003601DF" w:rsidP="00FD2B68">
      <w:pPr>
        <w:pStyle w:val="ListParagraph"/>
        <w:numPr>
          <w:ilvl w:val="0"/>
          <w:numId w:val="19"/>
        </w:numPr>
        <w:spacing w:before="120" w:after="120" w:line="240" w:lineRule="auto"/>
        <w:ind w:left="426" w:hanging="284"/>
        <w:jc w:val="both"/>
        <w:rPr>
          <w:rFonts w:ascii="Kohinoor Devanagari" w:hAnsi="Kohinoor Devanagari" w:cs="Kohinoor Devanagari"/>
          <w:b/>
          <w:bCs/>
          <w:sz w:val="22"/>
          <w:szCs w:val="22"/>
          <w:lang w:eastAsia="en-GB"/>
        </w:rPr>
      </w:pPr>
      <w:r w:rsidRPr="00DA19D1">
        <w:rPr>
          <w:rFonts w:ascii="Kohinoor Devanagari" w:hAnsi="Kohinoor Devanagari" w:cs="Kohinoor Devanagari"/>
          <w:b/>
          <w:bCs/>
          <w:sz w:val="22"/>
          <w:szCs w:val="22"/>
          <w:lang w:eastAsia="en-GB"/>
        </w:rPr>
        <w:t>Relevance for Systematic Disclosure:</w:t>
      </w:r>
    </w:p>
    <w:p w14:paraId="61035907" w14:textId="13252E7E" w:rsidR="003601DF" w:rsidRPr="00DA19D1" w:rsidRDefault="003601DF" w:rsidP="00FD2B68">
      <w:pPr>
        <w:numPr>
          <w:ilvl w:val="0"/>
          <w:numId w:val="24"/>
        </w:numPr>
        <w:spacing w:before="120" w:after="120" w:line="240" w:lineRule="auto"/>
        <w:jc w:val="both"/>
        <w:rPr>
          <w:rFonts w:ascii="Kohinoor Devanagari" w:hAnsi="Kohinoor Devanagari" w:cs="Kohinoor Devanagari"/>
          <w:sz w:val="22"/>
          <w:szCs w:val="22"/>
          <w:lang w:eastAsia="en-GB"/>
        </w:rPr>
      </w:pPr>
      <w:r w:rsidRPr="00DA19D1">
        <w:rPr>
          <w:rFonts w:ascii="Kohinoor Devanagari" w:hAnsi="Kohinoor Devanagari" w:cs="Kohinoor Devanagari"/>
          <w:sz w:val="22"/>
          <w:szCs w:val="22"/>
          <w:lang w:eastAsia="en-GB"/>
        </w:rPr>
        <w:t>Can integrate extractive sector data into Iraq’s broader open data and digitalization initiatives.</w:t>
      </w:r>
    </w:p>
    <w:p w14:paraId="59AF00F0" w14:textId="7521ED68" w:rsidR="003601DF" w:rsidRPr="00DA19D1" w:rsidRDefault="003601DF" w:rsidP="00FD2B68">
      <w:pPr>
        <w:numPr>
          <w:ilvl w:val="0"/>
          <w:numId w:val="24"/>
        </w:numPr>
        <w:spacing w:before="120" w:after="120" w:line="240" w:lineRule="auto"/>
        <w:jc w:val="both"/>
        <w:rPr>
          <w:rFonts w:ascii="Kohinoor Devanagari" w:hAnsi="Kohinoor Devanagari" w:cs="Kohinoor Devanagari"/>
          <w:sz w:val="22"/>
          <w:szCs w:val="22"/>
          <w:lang w:eastAsia="en-GB"/>
        </w:rPr>
      </w:pPr>
      <w:r w:rsidRPr="00DA19D1">
        <w:rPr>
          <w:rFonts w:ascii="Kohinoor Devanagari" w:hAnsi="Kohinoor Devanagari" w:cs="Kohinoor Devanagari"/>
          <w:sz w:val="22"/>
          <w:szCs w:val="22"/>
          <w:lang w:eastAsia="en-GB"/>
        </w:rPr>
        <w:t>Provides technical expertise for automating financial, contractual, and operational data disclosures.</w:t>
      </w:r>
    </w:p>
    <w:p w14:paraId="374EB987" w14:textId="004B856F" w:rsidR="003601DF" w:rsidRPr="00DA19D1" w:rsidRDefault="003601DF" w:rsidP="00FD2B68">
      <w:pPr>
        <w:numPr>
          <w:ilvl w:val="0"/>
          <w:numId w:val="24"/>
        </w:numPr>
        <w:spacing w:before="120" w:after="120" w:line="240" w:lineRule="auto"/>
        <w:jc w:val="both"/>
        <w:rPr>
          <w:rFonts w:ascii="Kohinoor Devanagari" w:hAnsi="Kohinoor Devanagari" w:cs="Kohinoor Devanagari"/>
          <w:sz w:val="22"/>
          <w:szCs w:val="22"/>
          <w:lang w:eastAsia="en-GB"/>
        </w:rPr>
      </w:pPr>
      <w:r w:rsidRPr="00DA19D1">
        <w:rPr>
          <w:rFonts w:ascii="Kohinoor Devanagari" w:hAnsi="Kohinoor Devanagari" w:cs="Kohinoor Devanagari"/>
          <w:sz w:val="22"/>
          <w:szCs w:val="22"/>
          <w:lang w:eastAsia="en-GB"/>
        </w:rPr>
        <w:t xml:space="preserve">Supports interoperability between </w:t>
      </w:r>
      <w:proofErr w:type="spellStart"/>
      <w:r w:rsidRPr="00DA19D1">
        <w:rPr>
          <w:rFonts w:ascii="Kohinoor Devanagari" w:hAnsi="Kohinoor Devanagari" w:cs="Kohinoor Devanagari"/>
          <w:sz w:val="22"/>
          <w:szCs w:val="22"/>
          <w:lang w:eastAsia="en-GB"/>
        </w:rPr>
        <w:t>MoO</w:t>
      </w:r>
      <w:proofErr w:type="spellEnd"/>
      <w:r w:rsidRPr="00DA19D1">
        <w:rPr>
          <w:rFonts w:ascii="Kohinoor Devanagari" w:hAnsi="Kohinoor Devanagari" w:cs="Kohinoor Devanagari"/>
          <w:sz w:val="22"/>
          <w:szCs w:val="22"/>
          <w:lang w:eastAsia="en-GB"/>
        </w:rPr>
        <w:t>, MoF, SO</w:t>
      </w:r>
      <w:r w:rsidR="00CC4282" w:rsidRPr="00DA19D1">
        <w:rPr>
          <w:rFonts w:ascii="Kohinoor Devanagari" w:hAnsi="Kohinoor Devanagari" w:cs="Kohinoor Devanagari"/>
          <w:sz w:val="22"/>
          <w:szCs w:val="22"/>
          <w:lang w:eastAsia="en-GB"/>
        </w:rPr>
        <w:t>e</w:t>
      </w:r>
      <w:r w:rsidRPr="00DA19D1">
        <w:rPr>
          <w:rFonts w:ascii="Kohinoor Devanagari" w:hAnsi="Kohinoor Devanagari" w:cs="Kohinoor Devanagari"/>
          <w:sz w:val="22"/>
          <w:szCs w:val="22"/>
          <w:lang w:eastAsia="en-GB"/>
        </w:rPr>
        <w:t>, and IEITI data systems.</w:t>
      </w:r>
    </w:p>
    <w:p w14:paraId="22575917" w14:textId="0A3D4488" w:rsidR="003601DF" w:rsidRPr="00DA19D1" w:rsidRDefault="003601DF" w:rsidP="00FD2B68">
      <w:pPr>
        <w:pStyle w:val="ListParagraph"/>
        <w:numPr>
          <w:ilvl w:val="0"/>
          <w:numId w:val="19"/>
        </w:numPr>
        <w:spacing w:before="120" w:after="120" w:line="240" w:lineRule="auto"/>
        <w:ind w:left="426" w:hanging="284"/>
        <w:jc w:val="both"/>
        <w:rPr>
          <w:rFonts w:ascii="Kohinoor Devanagari" w:hAnsi="Kohinoor Devanagari" w:cs="Kohinoor Devanagari"/>
          <w:b/>
          <w:bCs/>
          <w:sz w:val="22"/>
          <w:szCs w:val="22"/>
          <w:lang w:eastAsia="en-GB"/>
        </w:rPr>
      </w:pPr>
      <w:r w:rsidRPr="00DA19D1">
        <w:rPr>
          <w:rFonts w:ascii="Kohinoor Devanagari" w:hAnsi="Kohinoor Devanagari" w:cs="Kohinoor Devanagari"/>
          <w:b/>
          <w:bCs/>
          <w:sz w:val="22"/>
          <w:szCs w:val="22"/>
          <w:lang w:eastAsia="en-GB"/>
        </w:rPr>
        <w:t>Key Challenges:</w:t>
      </w:r>
    </w:p>
    <w:p w14:paraId="5A891AEF" w14:textId="77777777" w:rsidR="00CC4282" w:rsidRPr="00A3573B" w:rsidRDefault="003601DF" w:rsidP="00FD2B68">
      <w:pPr>
        <w:numPr>
          <w:ilvl w:val="0"/>
          <w:numId w:val="24"/>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explicit mandate to incorporate extractive sector data into Iraq’s open data frameworks.</w:t>
      </w:r>
    </w:p>
    <w:p w14:paraId="6230453C" w14:textId="6CD58A2A" w:rsidR="003601DF" w:rsidRPr="00A3573B" w:rsidRDefault="003601DF" w:rsidP="00FD2B68">
      <w:pPr>
        <w:numPr>
          <w:ilvl w:val="0"/>
          <w:numId w:val="24"/>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Lack of enforcement power over ministry-level disclosure obligations.</w:t>
      </w:r>
    </w:p>
    <w:p w14:paraId="40D76602" w14:textId="77777777" w:rsidR="00695015" w:rsidRPr="00A3573B" w:rsidRDefault="00695015" w:rsidP="00FD2B68">
      <w:pPr>
        <w:pStyle w:val="ListParagraph"/>
        <w:numPr>
          <w:ilvl w:val="0"/>
          <w:numId w:val="23"/>
        </w:numPr>
        <w:spacing w:before="120" w:after="120" w:line="240" w:lineRule="auto"/>
        <w:ind w:left="709" w:hanging="349"/>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National Data Center – Secure &amp; Centralized Data Management</w:t>
      </w:r>
    </w:p>
    <w:p w14:paraId="1665C02A" w14:textId="77777777" w:rsidR="008B5248" w:rsidRPr="00A3573B" w:rsidRDefault="008B5248" w:rsidP="00C33FCF">
      <w:pPr>
        <w:pStyle w:val="ListParagraph"/>
        <w:spacing w:before="120" w:after="120" w:line="240" w:lineRule="auto"/>
        <w:ind w:left="709"/>
        <w:jc w:val="both"/>
        <w:rPr>
          <w:rFonts w:ascii="Kohinoor Devanagari" w:hAnsi="Kohinoor Devanagari" w:cs="Kohinoor Devanagari"/>
          <w:b/>
          <w:bCs/>
          <w:sz w:val="22"/>
          <w:szCs w:val="22"/>
          <w:lang w:eastAsia="en-GB"/>
        </w:rPr>
      </w:pPr>
    </w:p>
    <w:p w14:paraId="22712ECC" w14:textId="37CBBAE5" w:rsidR="00695015" w:rsidRPr="00DA19D1" w:rsidRDefault="00695015" w:rsidP="00FD2B68">
      <w:pPr>
        <w:pStyle w:val="ListParagraph"/>
        <w:numPr>
          <w:ilvl w:val="0"/>
          <w:numId w:val="19"/>
        </w:numPr>
        <w:spacing w:before="120" w:after="120" w:line="240" w:lineRule="auto"/>
        <w:ind w:left="426" w:hanging="284"/>
        <w:jc w:val="both"/>
        <w:rPr>
          <w:rFonts w:ascii="Kohinoor Devanagari" w:hAnsi="Kohinoor Devanagari" w:cs="Kohinoor Devanagari"/>
          <w:b/>
          <w:bCs/>
          <w:sz w:val="22"/>
          <w:szCs w:val="22"/>
          <w:lang w:eastAsia="en-GB"/>
        </w:rPr>
      </w:pPr>
      <w:r w:rsidRPr="00DA19D1">
        <w:rPr>
          <w:rFonts w:ascii="Kohinoor Devanagari" w:hAnsi="Kohinoor Devanagari" w:cs="Kohinoor Devanagari"/>
          <w:b/>
          <w:bCs/>
          <w:sz w:val="22"/>
          <w:szCs w:val="22"/>
          <w:lang w:eastAsia="en-GB"/>
        </w:rPr>
        <w:t>Key Responsibilities:</w:t>
      </w:r>
    </w:p>
    <w:p w14:paraId="6B1D1A4E" w14:textId="77777777" w:rsidR="00695015" w:rsidRPr="00DA19D1" w:rsidRDefault="00695015" w:rsidP="00FD2B68">
      <w:pPr>
        <w:numPr>
          <w:ilvl w:val="0"/>
          <w:numId w:val="25"/>
        </w:numPr>
        <w:spacing w:before="120" w:after="120" w:line="240" w:lineRule="auto"/>
        <w:jc w:val="both"/>
        <w:rPr>
          <w:rFonts w:ascii="Kohinoor Devanagari" w:hAnsi="Kohinoor Devanagari" w:cs="Kohinoor Devanagari"/>
          <w:sz w:val="22"/>
          <w:szCs w:val="22"/>
          <w:lang w:eastAsia="en-GB"/>
        </w:rPr>
      </w:pPr>
      <w:r w:rsidRPr="00DA19D1">
        <w:rPr>
          <w:rFonts w:ascii="Kohinoor Devanagari" w:hAnsi="Kohinoor Devanagari" w:cs="Kohinoor Devanagari"/>
          <w:sz w:val="22"/>
          <w:szCs w:val="22"/>
          <w:lang w:eastAsia="en-GB"/>
        </w:rPr>
        <w:t>Hosts and manages sovereign government data in a centralized, secure facility.</w:t>
      </w:r>
    </w:p>
    <w:p w14:paraId="56870624" w14:textId="77777777" w:rsidR="00695015" w:rsidRPr="00DA19D1" w:rsidRDefault="00695015" w:rsidP="00FD2B68">
      <w:pPr>
        <w:numPr>
          <w:ilvl w:val="0"/>
          <w:numId w:val="25"/>
        </w:numPr>
        <w:spacing w:before="120" w:after="120" w:line="240" w:lineRule="auto"/>
        <w:jc w:val="both"/>
        <w:rPr>
          <w:rFonts w:ascii="Kohinoor Devanagari" w:hAnsi="Kohinoor Devanagari" w:cs="Kohinoor Devanagari"/>
          <w:sz w:val="22"/>
          <w:szCs w:val="22"/>
          <w:lang w:eastAsia="en-GB"/>
        </w:rPr>
      </w:pPr>
      <w:r w:rsidRPr="00DA19D1">
        <w:rPr>
          <w:rFonts w:ascii="Kohinoor Devanagari" w:hAnsi="Kohinoor Devanagari" w:cs="Kohinoor Devanagari"/>
          <w:sz w:val="22"/>
          <w:szCs w:val="22"/>
          <w:lang w:eastAsia="en-GB"/>
        </w:rPr>
        <w:t>Facilitates real-time inter-agency data sharing and integration.</w:t>
      </w:r>
    </w:p>
    <w:p w14:paraId="15036AD2" w14:textId="77777777" w:rsidR="00695015" w:rsidRPr="00DA19D1" w:rsidRDefault="00695015" w:rsidP="00FD2B68">
      <w:pPr>
        <w:numPr>
          <w:ilvl w:val="0"/>
          <w:numId w:val="25"/>
        </w:numPr>
        <w:spacing w:before="120" w:after="120" w:line="240" w:lineRule="auto"/>
        <w:jc w:val="both"/>
        <w:rPr>
          <w:rFonts w:ascii="Kohinoor Devanagari" w:hAnsi="Kohinoor Devanagari" w:cs="Kohinoor Devanagari"/>
          <w:sz w:val="22"/>
          <w:szCs w:val="22"/>
          <w:lang w:eastAsia="en-GB"/>
        </w:rPr>
      </w:pPr>
      <w:r w:rsidRPr="00DA19D1">
        <w:rPr>
          <w:rFonts w:ascii="Kohinoor Devanagari" w:hAnsi="Kohinoor Devanagari" w:cs="Kohinoor Devanagari"/>
          <w:sz w:val="22"/>
          <w:szCs w:val="22"/>
          <w:lang w:eastAsia="en-GB"/>
        </w:rPr>
        <w:t>Supports national policies on data security and transparency.</w:t>
      </w:r>
    </w:p>
    <w:p w14:paraId="0EDF0B03" w14:textId="77777777" w:rsidR="008B5248" w:rsidRPr="00DA19D1" w:rsidRDefault="00695015" w:rsidP="00FD2B68">
      <w:pPr>
        <w:pStyle w:val="ListParagraph"/>
        <w:numPr>
          <w:ilvl w:val="0"/>
          <w:numId w:val="19"/>
        </w:numPr>
        <w:spacing w:before="120" w:after="120" w:line="240" w:lineRule="auto"/>
        <w:ind w:left="426" w:hanging="284"/>
        <w:jc w:val="both"/>
        <w:rPr>
          <w:rFonts w:ascii="Kohinoor Devanagari" w:hAnsi="Kohinoor Devanagari" w:cs="Kohinoor Devanagari"/>
          <w:b/>
          <w:bCs/>
          <w:sz w:val="22"/>
          <w:szCs w:val="22"/>
          <w:lang w:eastAsia="en-GB"/>
        </w:rPr>
      </w:pPr>
      <w:r w:rsidRPr="00DA19D1">
        <w:rPr>
          <w:rFonts w:ascii="Kohinoor Devanagari" w:hAnsi="Kohinoor Devanagari" w:cs="Kohinoor Devanagari"/>
          <w:b/>
          <w:bCs/>
          <w:sz w:val="22"/>
          <w:szCs w:val="22"/>
          <w:lang w:eastAsia="en-GB"/>
        </w:rPr>
        <w:t>Relevance for Systematic Disclosure:</w:t>
      </w:r>
    </w:p>
    <w:p w14:paraId="40EC5E80" w14:textId="77777777" w:rsidR="007A678D" w:rsidRPr="00A3573B" w:rsidRDefault="00695015" w:rsidP="00FD2B68">
      <w:pPr>
        <w:numPr>
          <w:ilvl w:val="0"/>
          <w:numId w:val="2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Can serve as the main infrastructure for Iraq’s centralized extractive sector disclosure platform.</w:t>
      </w:r>
    </w:p>
    <w:p w14:paraId="0BBF7214" w14:textId="77777777" w:rsidR="007A678D" w:rsidRPr="00A3573B" w:rsidRDefault="00695015" w:rsidP="00FD2B68">
      <w:pPr>
        <w:numPr>
          <w:ilvl w:val="0"/>
          <w:numId w:val="2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Provides a secure, structured environment for storing and managing extractive sector data.</w:t>
      </w:r>
    </w:p>
    <w:p w14:paraId="3F25C8AA" w14:textId="60FD4B21" w:rsidR="00695015" w:rsidRPr="00A3573B" w:rsidRDefault="00695015" w:rsidP="00FD2B68">
      <w:pPr>
        <w:numPr>
          <w:ilvl w:val="0"/>
          <w:numId w:val="2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Ensures compliance with data-sharing regulations while enabling public access.</w:t>
      </w:r>
    </w:p>
    <w:p w14:paraId="13C0EA38" w14:textId="194295E9" w:rsidR="008B5248" w:rsidRPr="00DA19D1" w:rsidRDefault="00695015" w:rsidP="00FD2B68">
      <w:pPr>
        <w:pStyle w:val="ListParagraph"/>
        <w:numPr>
          <w:ilvl w:val="0"/>
          <w:numId w:val="19"/>
        </w:numPr>
        <w:spacing w:before="120" w:after="120" w:line="240" w:lineRule="auto"/>
        <w:ind w:left="426" w:hanging="284"/>
        <w:jc w:val="both"/>
        <w:rPr>
          <w:rFonts w:ascii="Kohinoor Devanagari" w:hAnsi="Kohinoor Devanagari" w:cs="Kohinoor Devanagari"/>
          <w:b/>
          <w:bCs/>
          <w:sz w:val="22"/>
          <w:szCs w:val="22"/>
          <w:lang w:eastAsia="en-GB"/>
        </w:rPr>
      </w:pPr>
      <w:r w:rsidRPr="00DA19D1">
        <w:rPr>
          <w:rFonts w:ascii="Kohinoor Devanagari" w:hAnsi="Kohinoor Devanagari" w:cs="Kohinoor Devanagari"/>
          <w:b/>
          <w:bCs/>
          <w:sz w:val="22"/>
          <w:szCs w:val="22"/>
          <w:lang w:eastAsia="en-GB"/>
        </w:rPr>
        <w:t>Key Gaps &amp; Challenges:</w:t>
      </w:r>
    </w:p>
    <w:p w14:paraId="12C04EC2" w14:textId="77777777" w:rsidR="00F469CD" w:rsidRPr="00A3573B" w:rsidRDefault="00695015" w:rsidP="00FD2B68">
      <w:pPr>
        <w:numPr>
          <w:ilvl w:val="0"/>
          <w:numId w:val="2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Uncertainty regarding public access to extractive sector data stored in the center.</w:t>
      </w:r>
    </w:p>
    <w:p w14:paraId="278FFB73" w14:textId="524A9844" w:rsidR="00695015" w:rsidRPr="00A3573B" w:rsidRDefault="00695015" w:rsidP="00FD2B68">
      <w:pPr>
        <w:numPr>
          <w:ilvl w:val="0"/>
          <w:numId w:val="2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Lack of structured integration between the data center and extractive industry reporting entities.</w:t>
      </w:r>
    </w:p>
    <w:p w14:paraId="2FF94052" w14:textId="77777777" w:rsidR="00E07ECB" w:rsidRPr="00A3573B" w:rsidRDefault="00E07ECB" w:rsidP="00FD2B68">
      <w:pPr>
        <w:pStyle w:val="Heading3"/>
        <w:numPr>
          <w:ilvl w:val="2"/>
          <w:numId w:val="74"/>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EITI Open data policy</w:t>
      </w:r>
    </w:p>
    <w:p w14:paraId="08256475" w14:textId="4A59893D" w:rsidR="00E07ECB" w:rsidRPr="00A3573B" w:rsidRDefault="000B747C" w:rsidP="000B747C">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 xml:space="preserve">Iraq’s existing </w:t>
      </w:r>
      <w:hyperlink r:id="rId20" w:history="1">
        <w:r w:rsidRPr="00A3573B">
          <w:rPr>
            <w:rStyle w:val="Hyperlink"/>
            <w:rFonts w:ascii="Kohinoor Devanagari" w:hAnsi="Kohinoor Devanagari" w:cs="Kohinoor Devanagari"/>
            <w:sz w:val="22"/>
            <w:szCs w:val="22"/>
            <w:lang w:eastAsia="en-GB"/>
          </w:rPr>
          <w:t>Open Data Policy</w:t>
        </w:r>
      </w:hyperlink>
      <w:r w:rsidRPr="00A3573B">
        <w:rPr>
          <w:rFonts w:ascii="Kohinoor Devanagari" w:hAnsi="Kohinoor Devanagari" w:cs="Kohinoor Devanagari"/>
          <w:sz w:val="22"/>
          <w:szCs w:val="22"/>
          <w:lang w:eastAsia="en-GB"/>
        </w:rPr>
        <w:t xml:space="preserve"> was introduced to enhance transparency, public engagement, and accountability in governance, including in the extractive sector. It aims to make government data freely accessible, reusable, and interoperable, in line with global open data principles. However, despite its positive intent, the policy has significant gaps that limit its effectiveness, particularly in ensuring systematic disclosure of extractive sector data in compliance with the EITI Standard.</w:t>
      </w:r>
    </w:p>
    <w:p w14:paraId="3090BE16" w14:textId="77777777" w:rsidR="00EE26DE" w:rsidRPr="00A3573B" w:rsidRDefault="00EE26DE" w:rsidP="00FD2B68">
      <w:pPr>
        <w:pStyle w:val="ListParagraph"/>
        <w:numPr>
          <w:ilvl w:val="0"/>
          <w:numId w:val="19"/>
        </w:numPr>
        <w:spacing w:before="120" w:after="120" w:line="240" w:lineRule="auto"/>
        <w:ind w:left="426" w:hanging="284"/>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Strengths of the Existing Open Data Policy</w:t>
      </w:r>
    </w:p>
    <w:p w14:paraId="0FD04234" w14:textId="2C17FB13" w:rsidR="00EE26DE" w:rsidRPr="00A3573B" w:rsidRDefault="00EE26DE" w:rsidP="00FD2B68">
      <w:pPr>
        <w:numPr>
          <w:ilvl w:val="0"/>
          <w:numId w:val="2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Commitment to Transparency:</w:t>
      </w:r>
      <w:r w:rsidRPr="00A3573B">
        <w:rPr>
          <w:rFonts w:ascii="Kohinoor Devanagari" w:hAnsi="Kohinoor Devanagari" w:cs="Kohinoor Devanagari"/>
          <w:sz w:val="22"/>
          <w:szCs w:val="22"/>
          <w:lang w:eastAsia="en-GB"/>
        </w:rPr>
        <w:t xml:space="preserve"> The policy promotes open access to government data and aligns with the broader transparency agenda.</w:t>
      </w:r>
    </w:p>
    <w:p w14:paraId="1DA66592" w14:textId="5AC86866" w:rsidR="00EE26DE" w:rsidRPr="00A3573B" w:rsidRDefault="00EE26DE" w:rsidP="00FD2B68">
      <w:pPr>
        <w:numPr>
          <w:ilvl w:val="0"/>
          <w:numId w:val="2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Encourages Public Participation:</w:t>
      </w:r>
      <w:r w:rsidRPr="00A3573B">
        <w:rPr>
          <w:rFonts w:ascii="Kohinoor Devanagari" w:hAnsi="Kohinoor Devanagari" w:cs="Kohinoor Devanagari"/>
          <w:sz w:val="22"/>
          <w:szCs w:val="22"/>
          <w:lang w:eastAsia="en-GB"/>
        </w:rPr>
        <w:t xml:space="preserve"> It supports data-driven civic engagement, enabling stakeholders to monitor governance and resource management.</w:t>
      </w:r>
    </w:p>
    <w:p w14:paraId="71A4E6EF" w14:textId="7984A77E" w:rsidR="00253E5C" w:rsidRPr="00A3573B" w:rsidRDefault="00EE26DE" w:rsidP="00FD2B68">
      <w:pPr>
        <w:numPr>
          <w:ilvl w:val="0"/>
          <w:numId w:val="2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Recognition of Open Standards</w:t>
      </w:r>
      <w:r w:rsidRPr="00A3573B">
        <w:rPr>
          <w:rFonts w:ascii="Kohinoor Devanagari" w:hAnsi="Kohinoor Devanagari" w:cs="Kohinoor Devanagari"/>
          <w:sz w:val="22"/>
          <w:szCs w:val="22"/>
          <w:lang w:eastAsia="en-GB"/>
        </w:rPr>
        <w:t>: The policy acknowledges the importance of machine-readable formats and interoperability, which facilitate data reuse.</w:t>
      </w:r>
    </w:p>
    <w:p w14:paraId="115FEB00" w14:textId="77777777" w:rsidR="00EE26DE" w:rsidRPr="00DA19D1" w:rsidRDefault="00EE26DE" w:rsidP="00FD2B68">
      <w:pPr>
        <w:pStyle w:val="ListParagraph"/>
        <w:numPr>
          <w:ilvl w:val="0"/>
          <w:numId w:val="19"/>
        </w:numPr>
        <w:spacing w:before="120" w:after="120" w:line="240" w:lineRule="auto"/>
        <w:ind w:left="426" w:hanging="284"/>
        <w:jc w:val="both"/>
        <w:rPr>
          <w:rFonts w:ascii="Kohinoor Devanagari" w:hAnsi="Kohinoor Devanagari" w:cs="Kohinoor Devanagari"/>
          <w:b/>
          <w:bCs/>
          <w:sz w:val="22"/>
          <w:szCs w:val="22"/>
          <w:lang w:eastAsia="en-GB"/>
        </w:rPr>
      </w:pPr>
      <w:r w:rsidRPr="00DA19D1">
        <w:rPr>
          <w:rFonts w:ascii="Kohinoor Devanagari" w:hAnsi="Kohinoor Devanagari" w:cs="Kohinoor Devanagari"/>
          <w:b/>
          <w:bCs/>
          <w:sz w:val="22"/>
          <w:szCs w:val="22"/>
          <w:lang w:eastAsia="en-GB"/>
        </w:rPr>
        <w:t>Key Weaknesses and Limitations</w:t>
      </w:r>
    </w:p>
    <w:p w14:paraId="4F1E7206" w14:textId="4D17DE88" w:rsidR="00253E5C" w:rsidRPr="00A3573B" w:rsidRDefault="00EE26DE" w:rsidP="00FD2B68">
      <w:pPr>
        <w:numPr>
          <w:ilvl w:val="0"/>
          <w:numId w:val="2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 xml:space="preserve">Lack of a Binding Legal Framework: </w:t>
      </w:r>
      <w:r w:rsidRPr="00A3573B">
        <w:rPr>
          <w:rFonts w:ascii="Kohinoor Devanagari" w:hAnsi="Kohinoor Devanagari" w:cs="Kohinoor Devanagari"/>
          <w:sz w:val="22"/>
          <w:szCs w:val="22"/>
          <w:lang w:eastAsia="en-GB"/>
        </w:rPr>
        <w:t>The policy is not legally enforceable, meaning entities can withhold data without facing penalties.</w:t>
      </w:r>
    </w:p>
    <w:p w14:paraId="28EBCE74" w14:textId="2E853470" w:rsidR="00253E5C" w:rsidRPr="00A3573B" w:rsidRDefault="00EE26DE" w:rsidP="00FD2B68">
      <w:pPr>
        <w:numPr>
          <w:ilvl w:val="0"/>
          <w:numId w:val="2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 xml:space="preserve">No Mandatory Disclosure of Extractive Contracts and Licenses: </w:t>
      </w:r>
      <w:r w:rsidRPr="00A3573B">
        <w:rPr>
          <w:rFonts w:ascii="Kohinoor Devanagari" w:hAnsi="Kohinoor Devanagari" w:cs="Kohinoor Devanagari"/>
          <w:sz w:val="22"/>
          <w:szCs w:val="22"/>
          <w:lang w:eastAsia="en-GB"/>
        </w:rPr>
        <w:t>Unlike best practices, the policy does not require systematic publication of contracts, annexes, amendments, or beneficial ownership data.</w:t>
      </w:r>
    </w:p>
    <w:p w14:paraId="15928240" w14:textId="037ACB46" w:rsidR="00253E5C" w:rsidRPr="00A3573B" w:rsidRDefault="00EE26DE" w:rsidP="00FD2B68">
      <w:pPr>
        <w:numPr>
          <w:ilvl w:val="0"/>
          <w:numId w:val="2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 xml:space="preserve">Limited Integration with Public Financial Reporting: </w:t>
      </w:r>
      <w:r w:rsidRPr="00A3573B">
        <w:rPr>
          <w:rFonts w:ascii="Kohinoor Devanagari" w:hAnsi="Kohinoor Devanagari" w:cs="Kohinoor Devanagari"/>
          <w:sz w:val="22"/>
          <w:szCs w:val="22"/>
          <w:lang w:eastAsia="en-GB"/>
        </w:rPr>
        <w:t>The policy does not mandate budget transparency or require linking extractive revenues with public spending at the national or subnational levels.</w:t>
      </w:r>
    </w:p>
    <w:p w14:paraId="46AB70DD" w14:textId="3A833A49" w:rsidR="00253E5C" w:rsidRPr="00A3573B" w:rsidRDefault="00EE26DE" w:rsidP="00FD2B68">
      <w:pPr>
        <w:numPr>
          <w:ilvl w:val="0"/>
          <w:numId w:val="2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 xml:space="preserve">Absence of Sanctions for Non-Compliance: </w:t>
      </w:r>
      <w:r w:rsidRPr="00A3573B">
        <w:rPr>
          <w:rFonts w:ascii="Kohinoor Devanagari" w:hAnsi="Kohinoor Devanagari" w:cs="Kohinoor Devanagari"/>
          <w:sz w:val="22"/>
          <w:szCs w:val="22"/>
          <w:lang w:eastAsia="en-GB"/>
        </w:rPr>
        <w:t>Entities failing to disclose data face no consequences, reducing incentives for compliance.</w:t>
      </w:r>
    </w:p>
    <w:p w14:paraId="46E0A4B7" w14:textId="10092FF7" w:rsidR="00253E5C" w:rsidRPr="00A3573B" w:rsidRDefault="00EE26DE" w:rsidP="00FD2B68">
      <w:pPr>
        <w:numPr>
          <w:ilvl w:val="0"/>
          <w:numId w:val="2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 xml:space="preserve">Lack of a Centralized Open Data Portal: </w:t>
      </w:r>
      <w:r w:rsidRPr="00A3573B">
        <w:rPr>
          <w:rFonts w:ascii="Kohinoor Devanagari" w:hAnsi="Kohinoor Devanagari" w:cs="Kohinoor Devanagari"/>
          <w:sz w:val="22"/>
          <w:szCs w:val="22"/>
          <w:lang w:eastAsia="en-GB"/>
        </w:rPr>
        <w:t>There is no unified platform where extractive data is systematically disclosed and accessible to the public.</w:t>
      </w:r>
    </w:p>
    <w:p w14:paraId="27C711CE" w14:textId="4CD56953" w:rsidR="00EE26DE" w:rsidRPr="00A3573B" w:rsidRDefault="00EE26DE" w:rsidP="00FD2B68">
      <w:pPr>
        <w:numPr>
          <w:ilvl w:val="0"/>
          <w:numId w:val="25"/>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 xml:space="preserve">Weak Oversight and Accountability Mechanisms: </w:t>
      </w:r>
      <w:r w:rsidRPr="00A3573B">
        <w:rPr>
          <w:rFonts w:ascii="Kohinoor Devanagari" w:hAnsi="Kohinoor Devanagari" w:cs="Kohinoor Devanagari"/>
          <w:sz w:val="22"/>
          <w:szCs w:val="22"/>
          <w:lang w:eastAsia="en-GB"/>
        </w:rPr>
        <w:t>No audits or independent reviews are required to verify the accuracy and completeness of published data.</w:t>
      </w:r>
    </w:p>
    <w:p w14:paraId="5E81C030" w14:textId="6F48C942" w:rsidR="00A535B2" w:rsidRPr="00A3573B" w:rsidRDefault="00943E6F" w:rsidP="005170CE">
      <w:pPr>
        <w:spacing w:before="120" w:after="120" w:line="240" w:lineRule="auto"/>
        <w:jc w:val="both"/>
        <w:rPr>
          <w:rFonts w:ascii="Kohinoor Devanagari" w:hAnsi="Kohinoor Devanagari" w:cs="Kohinoor Devanagari"/>
          <w:lang w:eastAsia="en-GB"/>
        </w:rPr>
      </w:pPr>
      <w:r w:rsidRPr="00A3573B">
        <w:rPr>
          <w:rFonts w:ascii="Kohinoor Devanagari" w:hAnsi="Kohinoor Devanagari" w:cs="Kohinoor Devanagari"/>
          <w:lang w:eastAsia="en-GB"/>
        </w:rPr>
        <w:br w:type="page"/>
      </w:r>
    </w:p>
    <w:p w14:paraId="1B9EA066" w14:textId="168EC3A7" w:rsidR="00A535B2" w:rsidRPr="00A3573B" w:rsidRDefault="00811BA9" w:rsidP="00C33FCF">
      <w:pPr>
        <w:pStyle w:val="Heading1"/>
        <w:shd w:val="clear" w:color="auto" w:fill="61BC4D"/>
        <w:spacing w:before="120" w:after="120" w:line="240" w:lineRule="auto"/>
        <w:ind w:left="567" w:hanging="567"/>
        <w:jc w:val="both"/>
        <w:rPr>
          <w:rFonts w:ascii="Kohinoor Devanagari" w:hAnsi="Kohinoor Devanagari" w:cs="Kohinoor Devanagari"/>
          <w:b/>
          <w:color w:val="FFFFFF" w:themeColor="background1"/>
          <w:kern w:val="0"/>
          <w:sz w:val="22"/>
          <w:szCs w:val="22"/>
          <w14:ligatures w14:val="none"/>
        </w:rPr>
      </w:pPr>
      <w:bookmarkStart w:id="11" w:name="_Toc194240155"/>
      <w:r>
        <w:rPr>
          <w:rFonts w:ascii="Kohinoor Devanagari" w:hAnsi="Kohinoor Devanagari" w:cs="Kohinoor Devanagari"/>
          <w:b/>
          <w:color w:val="FFFFFF" w:themeColor="background1"/>
          <w:kern w:val="0"/>
          <w:sz w:val="22"/>
          <w:szCs w:val="22"/>
          <w14:ligatures w14:val="none"/>
        </w:rPr>
        <w:t>3</w:t>
      </w:r>
      <w:r w:rsidR="00A535B2" w:rsidRPr="00A3573B">
        <w:rPr>
          <w:rFonts w:ascii="Kohinoor Devanagari" w:hAnsi="Kohinoor Devanagari" w:cs="Kohinoor Devanagari"/>
          <w:b/>
          <w:color w:val="FFFFFF" w:themeColor="background1"/>
          <w:kern w:val="0"/>
          <w:sz w:val="22"/>
          <w:szCs w:val="22"/>
          <w14:ligatures w14:val="none"/>
        </w:rPr>
        <w:t xml:space="preserve">. </w:t>
      </w:r>
      <w:r w:rsidR="00FA0E52" w:rsidRPr="00A3573B">
        <w:rPr>
          <w:rFonts w:ascii="Kohinoor Devanagari" w:hAnsi="Kohinoor Devanagari" w:cs="Kohinoor Devanagari"/>
          <w:b/>
          <w:color w:val="FFFFFF" w:themeColor="background1"/>
          <w:kern w:val="0"/>
          <w:sz w:val="22"/>
          <w:szCs w:val="22"/>
          <w14:ligatures w14:val="none"/>
        </w:rPr>
        <w:t xml:space="preserve">Mapping of current </w:t>
      </w:r>
      <w:r w:rsidR="00445915" w:rsidRPr="00A3573B">
        <w:rPr>
          <w:rFonts w:ascii="Kohinoor Devanagari" w:hAnsi="Kohinoor Devanagari" w:cs="Kohinoor Devanagari"/>
          <w:b/>
          <w:color w:val="FFFFFF" w:themeColor="background1"/>
          <w:kern w:val="0"/>
          <w:sz w:val="22"/>
          <w:szCs w:val="22"/>
          <w14:ligatures w14:val="none"/>
        </w:rPr>
        <w:t xml:space="preserve">disclosures </w:t>
      </w:r>
      <w:r w:rsidR="00B03A09" w:rsidRPr="00A3573B">
        <w:rPr>
          <w:rFonts w:ascii="Kohinoor Devanagari" w:hAnsi="Kohinoor Devanagari" w:cs="Kohinoor Devanagari"/>
          <w:b/>
          <w:color w:val="FFFFFF" w:themeColor="background1"/>
          <w:kern w:val="0"/>
          <w:sz w:val="22"/>
          <w:szCs w:val="22"/>
          <w14:ligatures w14:val="none"/>
        </w:rPr>
        <w:t xml:space="preserve">practices </w:t>
      </w:r>
      <w:r w:rsidR="00445915" w:rsidRPr="00A3573B">
        <w:rPr>
          <w:rFonts w:ascii="Kohinoor Devanagari" w:hAnsi="Kohinoor Devanagari" w:cs="Kohinoor Devanagari"/>
          <w:b/>
          <w:color w:val="FFFFFF" w:themeColor="background1"/>
          <w:kern w:val="0"/>
          <w:sz w:val="22"/>
          <w:szCs w:val="22"/>
          <w14:ligatures w14:val="none"/>
        </w:rPr>
        <w:t>against requirements</w:t>
      </w:r>
      <w:bookmarkEnd w:id="11"/>
    </w:p>
    <w:p w14:paraId="09B1DE9F" w14:textId="4E2CF508" w:rsidR="00376958" w:rsidRPr="00A3573B" w:rsidRDefault="00376958"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This section evaluates Iraq’s current extractive sector disclosures against the EITI Standard, assessing compliance, gaps, and areas for improvement. It identifies key data points that should be disclosed, ensuring alignment with EITI requirements and their objectives to enhance systematic transparency and accessibility of information.</w:t>
      </w:r>
    </w:p>
    <w:p w14:paraId="5D476BA9" w14:textId="08266E02" w:rsidR="00C076B8" w:rsidRPr="00A3573B" w:rsidRDefault="00C076B8" w:rsidP="00FD2B68">
      <w:pPr>
        <w:pStyle w:val="Heading2"/>
        <w:numPr>
          <w:ilvl w:val="1"/>
          <w:numId w:val="75"/>
        </w:numPr>
        <w:spacing w:before="120" w:after="120" w:line="240" w:lineRule="auto"/>
        <w:ind w:left="426" w:hanging="426"/>
        <w:jc w:val="both"/>
        <w:rPr>
          <w:rFonts w:ascii="Kohinoor Devanagari" w:hAnsi="Kohinoor Devanagari" w:cs="Kohinoor Devanagari"/>
          <w:b/>
          <w:bCs/>
          <w:sz w:val="22"/>
          <w:szCs w:val="22"/>
        </w:rPr>
      </w:pPr>
      <w:bookmarkStart w:id="12" w:name="_Toc194240156"/>
      <w:bookmarkStart w:id="13" w:name="_Toc183821168"/>
      <w:r w:rsidRPr="00A3573B">
        <w:rPr>
          <w:rFonts w:ascii="Kohinoor Devanagari" w:hAnsi="Kohinoor Devanagari" w:cs="Kohinoor Devanagari"/>
          <w:b/>
          <w:bCs/>
          <w:sz w:val="22"/>
          <w:szCs w:val="22"/>
        </w:rPr>
        <w:t>Legal environment and fiscal regime</w:t>
      </w:r>
      <w:bookmarkEnd w:id="12"/>
      <w:r w:rsidRPr="00A3573B">
        <w:rPr>
          <w:rFonts w:ascii="Kohinoor Devanagari" w:hAnsi="Kohinoor Devanagari" w:cs="Kohinoor Devanagari"/>
          <w:b/>
          <w:bCs/>
          <w:sz w:val="22"/>
          <w:szCs w:val="22"/>
        </w:rPr>
        <w:t xml:space="preserve"> </w:t>
      </w:r>
      <w:bookmarkEnd w:id="13"/>
    </w:p>
    <w:p w14:paraId="3EF944D8" w14:textId="77777777" w:rsidR="00DE4AF6" w:rsidRPr="00A3573B" w:rsidRDefault="00DE4AF6" w:rsidP="00FD2B68">
      <w:pPr>
        <w:pStyle w:val="ListParagraph"/>
        <w:numPr>
          <w:ilvl w:val="0"/>
          <w:numId w:val="32"/>
        </w:numPr>
        <w:spacing w:before="120" w:after="120" w:line="240" w:lineRule="auto"/>
        <w:ind w:left="426" w:hanging="284"/>
        <w:jc w:val="both"/>
        <w:rPr>
          <w:rFonts w:ascii="Kohinoor Devanagari" w:hAnsi="Kohinoor Devanagari" w:cs="Kohinoor Devanagari"/>
          <w:b/>
          <w:bCs/>
          <w:sz w:val="22"/>
          <w:szCs w:val="22"/>
          <w:lang w:eastAsia="en-GB"/>
        </w:rPr>
      </w:pPr>
      <w:bookmarkStart w:id="14" w:name="_Toc183821169"/>
      <w:r w:rsidRPr="00A3573B">
        <w:rPr>
          <w:rFonts w:ascii="Kohinoor Devanagari" w:hAnsi="Kohinoor Devanagari" w:cs="Kohinoor Devanagari"/>
          <w:b/>
          <w:bCs/>
          <w:sz w:val="22"/>
          <w:szCs w:val="22"/>
          <w:lang w:eastAsia="en-GB"/>
        </w:rPr>
        <w:t>Requirement 2.1: Legal Framework and Fiscal Regime</w:t>
      </w:r>
    </w:p>
    <w:p w14:paraId="229B313C" w14:textId="77777777" w:rsidR="00292A04" w:rsidRPr="00A3573B" w:rsidRDefault="00292A04" w:rsidP="00C33FCF">
      <w:pPr>
        <w:pStyle w:val="ListParagraph"/>
        <w:spacing w:before="120" w:after="120" w:line="240" w:lineRule="auto"/>
        <w:ind w:left="426"/>
        <w:jc w:val="both"/>
        <w:rPr>
          <w:rFonts w:ascii="Kohinoor Devanagari" w:hAnsi="Kohinoor Devanagari" w:cs="Kohinoor Devanagari"/>
          <w:b/>
          <w:bCs/>
          <w:sz w:val="22"/>
          <w:szCs w:val="22"/>
          <w:lang w:eastAsia="en-GB"/>
        </w:rPr>
      </w:pPr>
    </w:p>
    <w:p w14:paraId="7BD2E93B" w14:textId="77777777" w:rsidR="00DE4AF6" w:rsidRPr="00A3573B" w:rsidRDefault="00DE4AF6"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Relevance in Iraq</w:t>
      </w:r>
    </w:p>
    <w:p w14:paraId="654A89AC" w14:textId="77777777" w:rsidR="00DE4AF6" w:rsidRPr="00A3573B" w:rsidRDefault="00DE4AF6"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Iraq lacks a federal petroleum law, meaning that the legal and fiscal framework for oil and gas is defined through service contracts rather than codified legislation. The government has expressed intent to renegotiate service contracts, but there is no structured public record of ongoing or planned reforms.</w:t>
      </w:r>
    </w:p>
    <w:p w14:paraId="77907475" w14:textId="77777777" w:rsidR="00DE4AF6" w:rsidRPr="00A3573B" w:rsidRDefault="00DE4AF6"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Iraq EITI serves as the only public source of legal and fiscal regime information, but transparency is limited by the absence of publicly disclosed service contracts.</w:t>
      </w:r>
    </w:p>
    <w:p w14:paraId="7BD098B2" w14:textId="77777777" w:rsidR="00DE4AF6" w:rsidRPr="00A3573B" w:rsidRDefault="00DE4AF6"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Key Gaps Identified</w:t>
      </w:r>
    </w:p>
    <w:p w14:paraId="1D997FD4" w14:textId="3A0A47E4" w:rsidR="00DE4AF6" w:rsidRPr="00A3573B" w:rsidRDefault="00DE4AF6"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public disclosure of key fiscal terms in oil and gas contracts, limiting understanding of Iraq’s fiscal regime.</w:t>
      </w:r>
    </w:p>
    <w:p w14:paraId="7D26F919" w14:textId="17E23E33" w:rsidR="00DE4AF6" w:rsidRPr="00A3573B" w:rsidRDefault="00DE4AF6"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structured public reporting on planned legal and fiscal reforms.</w:t>
      </w:r>
    </w:p>
    <w:p w14:paraId="0C7EEFF6" w14:textId="03D7DC49" w:rsidR="00DE4AF6" w:rsidRPr="00A3573B" w:rsidRDefault="00DE4AF6"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comprehensive update on the impact of the revoked 2018 Iraq National Oil Company (INOC) Law.</w:t>
      </w:r>
    </w:p>
    <w:p w14:paraId="69DC50FB" w14:textId="77777777" w:rsidR="002232A9" w:rsidRPr="00A3573B" w:rsidRDefault="002232A9" w:rsidP="00FD2B68">
      <w:pPr>
        <w:pStyle w:val="ListParagraph"/>
        <w:numPr>
          <w:ilvl w:val="0"/>
          <w:numId w:val="32"/>
        </w:numPr>
        <w:spacing w:before="120" w:after="120" w:line="240" w:lineRule="auto"/>
        <w:ind w:left="426" w:hanging="284"/>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Requirement 2.4: Contract Transparency</w:t>
      </w:r>
    </w:p>
    <w:p w14:paraId="4D3CD397" w14:textId="77777777" w:rsidR="00E666A1" w:rsidRPr="00A3573B" w:rsidRDefault="00E666A1" w:rsidP="00604938">
      <w:pPr>
        <w:pStyle w:val="ListParagraph"/>
        <w:spacing w:before="120" w:after="120" w:line="240" w:lineRule="auto"/>
        <w:ind w:left="426"/>
        <w:jc w:val="both"/>
        <w:rPr>
          <w:rFonts w:ascii="Kohinoor Devanagari" w:hAnsi="Kohinoor Devanagari" w:cs="Kohinoor Devanagari"/>
          <w:b/>
          <w:bCs/>
          <w:sz w:val="22"/>
          <w:szCs w:val="22"/>
          <w:lang w:eastAsia="en-GB"/>
        </w:rPr>
      </w:pPr>
    </w:p>
    <w:p w14:paraId="441BA00C" w14:textId="77777777" w:rsidR="002232A9" w:rsidRPr="00A3573B" w:rsidRDefault="002232A9"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Relevance in Iraq</w:t>
      </w:r>
    </w:p>
    <w:p w14:paraId="72D7D7A7" w14:textId="77777777" w:rsidR="002232A9" w:rsidRPr="00A3573B" w:rsidRDefault="002232A9"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Iraq has not publicly disclosed any full oil and gas service contracts aside from a 2009 contract for the Rumaila field, which was leaked from unofficial sources. The government has issued directives to NOCs and IOCs to adhere to contract transparency policies, but there is no clarity on the current government stance on contract disclosure.</w:t>
      </w:r>
    </w:p>
    <w:p w14:paraId="5D792611" w14:textId="77777777" w:rsidR="002232A9" w:rsidRPr="00A3573B" w:rsidRDefault="002232A9"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Service contracts determine exploitation terms, production targets, remuneration fees, and cost recovery mechanisms, making their publication essential for public accountability.</w:t>
      </w:r>
    </w:p>
    <w:p w14:paraId="486CADFF" w14:textId="77777777" w:rsidR="00EC6462" w:rsidRDefault="00EC6462">
      <w:pPr>
        <w:rPr>
          <w:rFonts w:ascii="Kohinoor Devanagari" w:hAnsi="Kohinoor Devanagari" w:cs="Kohinoor Devanagari"/>
          <w:b/>
          <w:bCs/>
          <w:sz w:val="22"/>
          <w:szCs w:val="22"/>
          <w:lang w:eastAsia="en-GB"/>
        </w:rPr>
      </w:pPr>
      <w:r>
        <w:rPr>
          <w:rFonts w:ascii="Kohinoor Devanagari" w:hAnsi="Kohinoor Devanagari" w:cs="Kohinoor Devanagari"/>
          <w:b/>
          <w:bCs/>
          <w:sz w:val="22"/>
          <w:szCs w:val="22"/>
          <w:lang w:eastAsia="en-GB"/>
        </w:rPr>
        <w:br w:type="page"/>
      </w:r>
    </w:p>
    <w:p w14:paraId="0BB63285" w14:textId="7F826514" w:rsidR="002232A9" w:rsidRPr="00A3573B" w:rsidRDefault="002232A9" w:rsidP="00FD2B68">
      <w:pPr>
        <w:pStyle w:val="ListParagraph"/>
        <w:numPr>
          <w:ilvl w:val="0"/>
          <w:numId w:val="16"/>
        </w:numPr>
        <w:spacing w:before="120" w:after="120" w:line="240" w:lineRule="auto"/>
        <w:ind w:left="714" w:hanging="357"/>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Key Gaps Identified</w:t>
      </w:r>
    </w:p>
    <w:p w14:paraId="7D987D96" w14:textId="0B375824" w:rsidR="0025167B" w:rsidRPr="00A3573B" w:rsidRDefault="002232A9"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full text of any oil and gas contracts is publicly available, despite EITI requirements.</w:t>
      </w:r>
    </w:p>
    <w:p w14:paraId="58EFC13D" w14:textId="77777777" w:rsidR="0025167B" w:rsidRPr="00A3573B" w:rsidRDefault="002232A9"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legal framework ensures contract disclosure, and government policies remain unclear</w:t>
      </w:r>
      <w:r w:rsidR="0025167B" w:rsidRPr="00A3573B">
        <w:rPr>
          <w:rFonts w:ascii="Kohinoor Devanagari" w:hAnsi="Kohinoor Devanagari" w:cs="Kohinoor Devanagari"/>
          <w:sz w:val="22"/>
          <w:szCs w:val="22"/>
          <w:lang w:eastAsia="en-GB"/>
        </w:rPr>
        <w:t>.</w:t>
      </w:r>
    </w:p>
    <w:p w14:paraId="67BCD1B6" w14:textId="183C35FC" w:rsidR="002232A9" w:rsidRPr="00A3573B" w:rsidRDefault="002232A9"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 xml:space="preserve"> No inventory of active contracts and amendments, making it difficult to track changes.</w:t>
      </w:r>
    </w:p>
    <w:p w14:paraId="0B1337B6" w14:textId="7439FFE4" w:rsidR="00542766" w:rsidRPr="00A3573B" w:rsidRDefault="00542766" w:rsidP="00FD2B68">
      <w:pPr>
        <w:pStyle w:val="ListParagraph"/>
        <w:numPr>
          <w:ilvl w:val="0"/>
          <w:numId w:val="32"/>
        </w:numPr>
        <w:spacing w:before="120" w:after="120" w:line="240" w:lineRule="auto"/>
        <w:ind w:left="426" w:hanging="284"/>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Requirement 6.4: Environmental Impact</w:t>
      </w:r>
    </w:p>
    <w:p w14:paraId="5CA30750" w14:textId="77777777" w:rsidR="00E666A1" w:rsidRPr="00A3573B" w:rsidRDefault="00E666A1" w:rsidP="00C33FCF">
      <w:pPr>
        <w:pStyle w:val="ListParagraph"/>
        <w:spacing w:before="120" w:after="120" w:line="240" w:lineRule="auto"/>
        <w:ind w:left="426"/>
        <w:jc w:val="both"/>
        <w:rPr>
          <w:rFonts w:ascii="Kohinoor Devanagari" w:hAnsi="Kohinoor Devanagari" w:cs="Kohinoor Devanagari"/>
          <w:sz w:val="22"/>
          <w:szCs w:val="22"/>
          <w:lang w:eastAsia="en-GB"/>
        </w:rPr>
      </w:pPr>
    </w:p>
    <w:p w14:paraId="21CC3518" w14:textId="3D29E3C1" w:rsidR="006F134B" w:rsidRPr="00A3573B" w:rsidRDefault="006F134B" w:rsidP="00FD2B68">
      <w:pPr>
        <w:pStyle w:val="ListParagraph"/>
        <w:numPr>
          <w:ilvl w:val="0"/>
          <w:numId w:val="16"/>
        </w:numPr>
        <w:spacing w:before="120" w:after="120" w:line="240" w:lineRule="auto"/>
        <w:ind w:left="714" w:hanging="357"/>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Relevance in Iraq</w:t>
      </w:r>
    </w:p>
    <w:p w14:paraId="321D992F" w14:textId="77777777" w:rsidR="006F134B" w:rsidRPr="00A3573B" w:rsidRDefault="006F134B"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Iraq has expanded EITI reporting on environmental issues, covering international commitments like the Paris Agreement (2020) and the Global Methane Pledge (2021). However, reporting on environmental regulations, enforcement, and company compliance remains weak.</w:t>
      </w:r>
    </w:p>
    <w:p w14:paraId="348A7425" w14:textId="77777777" w:rsidR="006F134B" w:rsidRPr="00A3573B" w:rsidRDefault="006F134B"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Gas flaring remains a major environmental challenge, with Iraq ranking among the world's top gas-flaring countries. There is no public reporting on environmental fines, penalties, or rehabilitation programs.</w:t>
      </w:r>
    </w:p>
    <w:p w14:paraId="3E9681A3" w14:textId="77777777" w:rsidR="006F134B" w:rsidRPr="00A3573B" w:rsidRDefault="006F134B" w:rsidP="00FD2B68">
      <w:pPr>
        <w:pStyle w:val="ListParagraph"/>
        <w:numPr>
          <w:ilvl w:val="0"/>
          <w:numId w:val="16"/>
        </w:numPr>
        <w:spacing w:before="120" w:after="120" w:line="240" w:lineRule="auto"/>
        <w:ind w:left="714" w:hanging="357"/>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Key Gaps Identified</w:t>
      </w:r>
    </w:p>
    <w:p w14:paraId="0E7286A4" w14:textId="5EB22F1E" w:rsidR="00542766" w:rsidRPr="00A3573B" w:rsidRDefault="006F134B"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public disclosure of environmental impact assessments (EIAs) or compliance reports from extractive companies.</w:t>
      </w:r>
    </w:p>
    <w:p w14:paraId="11AB8641" w14:textId="77777777" w:rsidR="00542766" w:rsidRPr="00A3573B" w:rsidRDefault="006F134B"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data on fines, penalties, or enforcement actions for environmental violations.</w:t>
      </w:r>
    </w:p>
    <w:p w14:paraId="2EF82E05" w14:textId="7248C650" w:rsidR="006F134B" w:rsidRPr="00A3573B" w:rsidRDefault="006F134B"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reporting on environmental rehabilitation programs or liabilities.</w:t>
      </w:r>
    </w:p>
    <w:p w14:paraId="6C0CC138" w14:textId="62CAFBF9" w:rsidR="004E33F7" w:rsidRPr="00A3573B" w:rsidRDefault="004E33F7" w:rsidP="00FD2B68">
      <w:pPr>
        <w:pStyle w:val="Heading2"/>
        <w:numPr>
          <w:ilvl w:val="1"/>
          <w:numId w:val="75"/>
        </w:numPr>
        <w:spacing w:before="120" w:after="120" w:line="240" w:lineRule="auto"/>
        <w:ind w:left="426" w:hanging="426"/>
        <w:jc w:val="both"/>
        <w:rPr>
          <w:rFonts w:ascii="Kohinoor Devanagari" w:hAnsi="Kohinoor Devanagari" w:cs="Kohinoor Devanagari"/>
          <w:b/>
          <w:bCs/>
          <w:sz w:val="22"/>
          <w:szCs w:val="22"/>
        </w:rPr>
      </w:pPr>
      <w:bookmarkStart w:id="15" w:name="_Toc194240157"/>
      <w:r w:rsidRPr="00A3573B">
        <w:rPr>
          <w:rFonts w:ascii="Kohinoor Devanagari" w:hAnsi="Kohinoor Devanagari" w:cs="Kohinoor Devanagari"/>
          <w:b/>
          <w:bCs/>
          <w:sz w:val="22"/>
          <w:szCs w:val="22"/>
        </w:rPr>
        <w:t>Licenses and property rights</w:t>
      </w:r>
      <w:bookmarkEnd w:id="15"/>
      <w:r w:rsidRPr="00A3573B">
        <w:rPr>
          <w:rFonts w:ascii="Kohinoor Devanagari" w:hAnsi="Kohinoor Devanagari" w:cs="Kohinoor Devanagari"/>
          <w:b/>
          <w:bCs/>
          <w:sz w:val="22"/>
          <w:szCs w:val="22"/>
        </w:rPr>
        <w:t xml:space="preserve"> </w:t>
      </w:r>
      <w:bookmarkEnd w:id="14"/>
    </w:p>
    <w:p w14:paraId="60B60D2F" w14:textId="77777777" w:rsidR="001345C5" w:rsidRPr="00A3573B" w:rsidRDefault="001345C5" w:rsidP="00FD2B68">
      <w:pPr>
        <w:pStyle w:val="ListParagraph"/>
        <w:numPr>
          <w:ilvl w:val="0"/>
          <w:numId w:val="33"/>
        </w:numPr>
        <w:spacing w:before="120" w:after="120" w:line="240" w:lineRule="auto"/>
        <w:ind w:left="426" w:hanging="284"/>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Requirement 2.2: Contract and License Allocations</w:t>
      </w:r>
    </w:p>
    <w:p w14:paraId="52699305" w14:textId="77777777" w:rsidR="00292A04" w:rsidRPr="00A3573B" w:rsidRDefault="00292A04" w:rsidP="00C33FCF">
      <w:pPr>
        <w:pStyle w:val="ListParagraph"/>
        <w:spacing w:before="120" w:after="120" w:line="240" w:lineRule="auto"/>
        <w:ind w:left="426"/>
        <w:jc w:val="both"/>
        <w:rPr>
          <w:rFonts w:ascii="Kohinoor Devanagari" w:hAnsi="Kohinoor Devanagari" w:cs="Kohinoor Devanagari"/>
          <w:b/>
          <w:bCs/>
          <w:sz w:val="22"/>
          <w:szCs w:val="22"/>
          <w:lang w:eastAsia="en-GB"/>
        </w:rPr>
      </w:pPr>
    </w:p>
    <w:p w14:paraId="3893AFC1" w14:textId="77777777" w:rsidR="00EE5F27" w:rsidRPr="00A3573B" w:rsidRDefault="00EE5F27" w:rsidP="00FD2B68">
      <w:pPr>
        <w:pStyle w:val="ListParagraph"/>
        <w:numPr>
          <w:ilvl w:val="0"/>
          <w:numId w:val="16"/>
        </w:numPr>
        <w:spacing w:before="120" w:after="120" w:line="240" w:lineRule="auto"/>
        <w:ind w:left="714" w:hanging="357"/>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Relevance in Iraq</w:t>
      </w:r>
    </w:p>
    <w:p w14:paraId="72BEBE27" w14:textId="77777777" w:rsidR="001345C5" w:rsidRPr="00A3573B" w:rsidRDefault="001345C5" w:rsidP="00C33FCF">
      <w:pPr>
        <w:pStyle w:val="NormalWeb"/>
        <w:spacing w:before="120" w:beforeAutospacing="0" w:after="120" w:afterAutospacing="0"/>
        <w:jc w:val="both"/>
        <w:rPr>
          <w:rFonts w:ascii="Kohinoor Devanagari" w:eastAsiaTheme="minorHAnsi" w:hAnsi="Kohinoor Devanagari" w:cs="Kohinoor Devanagari"/>
          <w:kern w:val="2"/>
          <w:sz w:val="22"/>
          <w:szCs w:val="22"/>
          <w:lang w:val="en-US" w:eastAsia="en-GB"/>
          <w14:ligatures w14:val="standardContextual"/>
        </w:rPr>
      </w:pPr>
      <w:r w:rsidRPr="00A3573B">
        <w:rPr>
          <w:rFonts w:ascii="Kohinoor Devanagari" w:eastAsiaTheme="minorHAnsi" w:hAnsi="Kohinoor Devanagari" w:cs="Kohinoor Devanagari"/>
          <w:kern w:val="2"/>
          <w:sz w:val="22"/>
          <w:szCs w:val="22"/>
          <w:lang w:val="en-US" w:eastAsia="en-GB"/>
          <w14:ligatures w14:val="standardContextual"/>
        </w:rPr>
        <w:t>Iraq’s extractive sector is managed by NOCs, with IOCs operating under service contracts. While licensing rounds ensure some transparency, contracts awarded outside these rounds lack public disclosure, raising concerns about fairness.</w:t>
      </w:r>
    </w:p>
    <w:p w14:paraId="4BCBFDBB" w14:textId="77777777" w:rsidR="00EE5F27" w:rsidRPr="00A3573B" w:rsidRDefault="00EE5F27"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Key Gaps Identified</w:t>
      </w:r>
    </w:p>
    <w:p w14:paraId="080747FE" w14:textId="77777777" w:rsidR="00EE5F27" w:rsidRPr="00A3573B" w:rsidRDefault="001345C5"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public disclosure of direct contract awards (e.g., 2021 service contracts).</w:t>
      </w:r>
    </w:p>
    <w:p w14:paraId="53CCB089" w14:textId="77777777" w:rsidR="0025167B" w:rsidRPr="00A3573B" w:rsidRDefault="001345C5"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Lack of transparency on technical and financial criteria used in contract allocation.</w:t>
      </w:r>
    </w:p>
    <w:p w14:paraId="6A0F689E" w14:textId="4095F45F" w:rsidR="001345C5" w:rsidRPr="00A3573B" w:rsidRDefault="001345C5"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Unclear process for rejected license transfers (e.g., PetroChina’s failed bid for West Qurna 1).</w:t>
      </w:r>
    </w:p>
    <w:p w14:paraId="3A6189F1" w14:textId="19F9BF88" w:rsidR="00946FD3" w:rsidRPr="00A3573B" w:rsidRDefault="00946FD3" w:rsidP="00FD2B68">
      <w:pPr>
        <w:pStyle w:val="ListParagraph"/>
        <w:numPr>
          <w:ilvl w:val="0"/>
          <w:numId w:val="33"/>
        </w:numPr>
        <w:spacing w:before="120" w:after="120" w:line="240" w:lineRule="auto"/>
        <w:ind w:left="426" w:hanging="284"/>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Requirement 2.3: Register of Licenses</w:t>
      </w:r>
    </w:p>
    <w:p w14:paraId="4AF5B1D3" w14:textId="77777777" w:rsidR="00946FD3" w:rsidRPr="00A3573B" w:rsidRDefault="00946FD3" w:rsidP="00C33FCF">
      <w:p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Relevance in Iraq</w:t>
      </w:r>
    </w:p>
    <w:p w14:paraId="4EB3CC3C" w14:textId="77777777" w:rsidR="00946FD3" w:rsidRPr="00A3573B" w:rsidRDefault="00946FD3"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Iraq lacks a modern public license registry, with outdated and contradictory data across government sources. The PCLD’s online register has not been updated since 2022, and mining licenses lack key details.</w:t>
      </w:r>
    </w:p>
    <w:p w14:paraId="62AEF8CE" w14:textId="77777777" w:rsidR="00946FD3" w:rsidRPr="00A3573B" w:rsidRDefault="00946FD3" w:rsidP="00C33FCF">
      <w:p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Key Gaps Identified</w:t>
      </w:r>
    </w:p>
    <w:p w14:paraId="0E75120A" w14:textId="77777777" w:rsidR="00946FD3" w:rsidRPr="00A3573B" w:rsidRDefault="00946FD3"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 xml:space="preserve">Oil &amp; gas license data outdated (e.g., Shell still listed for </w:t>
      </w:r>
      <w:proofErr w:type="spellStart"/>
      <w:r w:rsidRPr="00A3573B">
        <w:rPr>
          <w:rFonts w:ascii="Kohinoor Devanagari" w:hAnsi="Kohinoor Devanagari" w:cs="Kohinoor Devanagari"/>
          <w:sz w:val="22"/>
          <w:szCs w:val="22"/>
          <w:lang w:eastAsia="en-GB"/>
        </w:rPr>
        <w:t>Majnoon</w:t>
      </w:r>
      <w:proofErr w:type="spellEnd"/>
      <w:r w:rsidRPr="00A3573B">
        <w:rPr>
          <w:rFonts w:ascii="Kohinoor Devanagari" w:hAnsi="Kohinoor Devanagari" w:cs="Kohinoor Devanagari"/>
          <w:sz w:val="22"/>
          <w:szCs w:val="22"/>
          <w:lang w:eastAsia="en-GB"/>
        </w:rPr>
        <w:t xml:space="preserve"> field).</w:t>
      </w:r>
    </w:p>
    <w:p w14:paraId="0A35DEC7" w14:textId="77777777" w:rsidR="00946FD3" w:rsidRPr="00A3573B" w:rsidRDefault="00946FD3"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disclosure of award/expiry dates or geographic coordinates.</w:t>
      </w:r>
    </w:p>
    <w:p w14:paraId="6D8BDCF6" w14:textId="333BA55F" w:rsidR="00946FD3" w:rsidRPr="00A3573B" w:rsidRDefault="00946FD3"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centralized, real-time cadastral system for extractive licenses.</w:t>
      </w:r>
    </w:p>
    <w:p w14:paraId="24C2F0F3" w14:textId="20315EC5" w:rsidR="0036421A" w:rsidRPr="00A3573B" w:rsidRDefault="0036421A" w:rsidP="00FD2B68">
      <w:pPr>
        <w:pStyle w:val="Heading2"/>
        <w:numPr>
          <w:ilvl w:val="1"/>
          <w:numId w:val="75"/>
        </w:numPr>
        <w:spacing w:before="120" w:after="120" w:line="240" w:lineRule="auto"/>
        <w:ind w:left="426" w:hanging="426"/>
        <w:jc w:val="both"/>
        <w:rPr>
          <w:rFonts w:ascii="Kohinoor Devanagari" w:hAnsi="Kohinoor Devanagari" w:cs="Kohinoor Devanagari"/>
          <w:b/>
          <w:bCs/>
          <w:sz w:val="22"/>
          <w:szCs w:val="22"/>
        </w:rPr>
      </w:pPr>
      <w:bookmarkStart w:id="16" w:name="_Toc194240158"/>
      <w:r w:rsidRPr="00A3573B">
        <w:rPr>
          <w:rFonts w:ascii="Kohinoor Devanagari" w:hAnsi="Kohinoor Devanagari" w:cs="Kohinoor Devanagari"/>
          <w:b/>
          <w:bCs/>
          <w:sz w:val="22"/>
          <w:szCs w:val="22"/>
        </w:rPr>
        <w:t>Beneficial Ownership Transparency</w:t>
      </w:r>
      <w:bookmarkEnd w:id="16"/>
      <w:r w:rsidRPr="00A3573B">
        <w:rPr>
          <w:rFonts w:ascii="Kohinoor Devanagari" w:hAnsi="Kohinoor Devanagari" w:cs="Kohinoor Devanagari"/>
          <w:b/>
          <w:bCs/>
          <w:sz w:val="22"/>
          <w:szCs w:val="22"/>
        </w:rPr>
        <w:t xml:space="preserve"> </w:t>
      </w:r>
    </w:p>
    <w:p w14:paraId="69E5D291" w14:textId="77777777" w:rsidR="0003610B" w:rsidRPr="00A3573B" w:rsidRDefault="0003610B"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Relevance in Iraq</w:t>
      </w:r>
    </w:p>
    <w:p w14:paraId="30CBFD9C" w14:textId="77777777" w:rsidR="0003610B" w:rsidRPr="00A3573B" w:rsidRDefault="0003610B"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Iraq lacks a legal or regulatory framework mandating the collection and public disclosure of beneficial ownership (BO) information for companies holding or applying for extractive licenses and contracts. The 2017 EITI Report piloted BO disclosures for service providers, identifying tax compliance irregularities in one-third of reporting companies, demonstrating the importance of BO transparency. However, no similar disclosures have been made since 2018.</w:t>
      </w:r>
    </w:p>
    <w:p w14:paraId="1CCD29F5" w14:textId="77777777" w:rsidR="0003610B" w:rsidRPr="00A3573B" w:rsidRDefault="0003610B"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While Iraq’s 2021 EITI Report defines BO reporting thresholds, no extractive company disclosed BO information, and there is no MSG review of the comprehensiveness and reliability of BO data.</w:t>
      </w:r>
    </w:p>
    <w:p w14:paraId="7F81B853" w14:textId="77777777" w:rsidR="0003610B" w:rsidRPr="00A3573B" w:rsidRDefault="0003610B"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Key Gaps Identified</w:t>
      </w:r>
    </w:p>
    <w:p w14:paraId="7BDBD291" w14:textId="5ED5A154" w:rsidR="0003610B" w:rsidRPr="00A3573B" w:rsidRDefault="0003610B"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enabling legal framework for collecting and disclosing BO data.</w:t>
      </w:r>
    </w:p>
    <w:p w14:paraId="7FEF89F0" w14:textId="0936EF37" w:rsidR="0003610B" w:rsidRPr="00A3573B" w:rsidRDefault="0003610B"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public BO disclosures in recent EITI reports, despite reporting definitions.</w:t>
      </w:r>
    </w:p>
    <w:p w14:paraId="241B989C" w14:textId="26FDE63B" w:rsidR="0003610B" w:rsidRPr="00A3573B" w:rsidRDefault="0003610B"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public information on legal owners of extractive companies or links to stock exchange filings.</w:t>
      </w:r>
    </w:p>
    <w:p w14:paraId="2E893699" w14:textId="3CDDE477" w:rsidR="0003610B" w:rsidRPr="00A3573B" w:rsidRDefault="0003610B"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progress on creating a publicly accessible BO register for extractive industries.</w:t>
      </w:r>
    </w:p>
    <w:p w14:paraId="32ED85E5" w14:textId="77777777" w:rsidR="00EC6462" w:rsidRDefault="00EC6462">
      <w:pPr>
        <w:rPr>
          <w:rFonts w:ascii="Kohinoor Devanagari" w:eastAsiaTheme="majorEastAsia" w:hAnsi="Kohinoor Devanagari" w:cs="Kohinoor Devanagari"/>
          <w:b/>
          <w:bCs/>
          <w:color w:val="0F4761" w:themeColor="accent1" w:themeShade="BF"/>
          <w:sz w:val="22"/>
          <w:szCs w:val="22"/>
        </w:rPr>
      </w:pPr>
      <w:bookmarkStart w:id="17" w:name="_Toc183821171"/>
      <w:r>
        <w:rPr>
          <w:rFonts w:ascii="Kohinoor Devanagari" w:hAnsi="Kohinoor Devanagari" w:cs="Kohinoor Devanagari"/>
          <w:b/>
          <w:bCs/>
          <w:sz w:val="22"/>
          <w:szCs w:val="22"/>
        </w:rPr>
        <w:br w:type="page"/>
      </w:r>
    </w:p>
    <w:p w14:paraId="629BF377" w14:textId="2CC8EB09" w:rsidR="007B3466" w:rsidRPr="00A3573B" w:rsidRDefault="007B3466" w:rsidP="00FD2B68">
      <w:pPr>
        <w:pStyle w:val="Heading2"/>
        <w:numPr>
          <w:ilvl w:val="1"/>
          <w:numId w:val="75"/>
        </w:numPr>
        <w:spacing w:before="120" w:after="120" w:line="240" w:lineRule="auto"/>
        <w:ind w:left="426" w:hanging="426"/>
        <w:jc w:val="both"/>
        <w:rPr>
          <w:rFonts w:ascii="Kohinoor Devanagari" w:hAnsi="Kohinoor Devanagari" w:cs="Kohinoor Devanagari"/>
          <w:b/>
          <w:bCs/>
          <w:sz w:val="22"/>
          <w:szCs w:val="22"/>
        </w:rPr>
      </w:pPr>
      <w:bookmarkStart w:id="18" w:name="_Toc194240159"/>
      <w:r w:rsidRPr="00A3573B">
        <w:rPr>
          <w:rFonts w:ascii="Kohinoor Devanagari" w:hAnsi="Kohinoor Devanagari" w:cs="Kohinoor Devanagari"/>
          <w:b/>
          <w:bCs/>
          <w:sz w:val="22"/>
          <w:szCs w:val="22"/>
        </w:rPr>
        <w:t>State participation</w:t>
      </w:r>
      <w:bookmarkEnd w:id="18"/>
      <w:r w:rsidRPr="00A3573B">
        <w:rPr>
          <w:rFonts w:ascii="Kohinoor Devanagari" w:hAnsi="Kohinoor Devanagari" w:cs="Kohinoor Devanagari"/>
          <w:b/>
          <w:bCs/>
          <w:sz w:val="22"/>
          <w:szCs w:val="22"/>
        </w:rPr>
        <w:t xml:space="preserve"> </w:t>
      </w:r>
      <w:bookmarkEnd w:id="17"/>
    </w:p>
    <w:p w14:paraId="2E6E5AB5" w14:textId="77777777" w:rsidR="00074AEE" w:rsidRPr="00A3573B" w:rsidRDefault="00074AEE" w:rsidP="00FD2B68">
      <w:pPr>
        <w:pStyle w:val="ListParagraph"/>
        <w:numPr>
          <w:ilvl w:val="0"/>
          <w:numId w:val="34"/>
        </w:numPr>
        <w:spacing w:before="120" w:after="120" w:line="240" w:lineRule="auto"/>
        <w:ind w:left="426" w:hanging="284"/>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Requirement 2.6: State Participation</w:t>
      </w:r>
    </w:p>
    <w:p w14:paraId="5A9A9916" w14:textId="77777777" w:rsidR="00074AEE" w:rsidRPr="00A3573B" w:rsidRDefault="00074AEE"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Relevance in Iraq</w:t>
      </w:r>
    </w:p>
    <w:p w14:paraId="77EFC355" w14:textId="77777777" w:rsidR="00074AEE" w:rsidRPr="00A3573B" w:rsidRDefault="00074AEE"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Iraq’s extractive sector is dominated by State-Owned Enterprises (SOEs), including SOMO, Basra Oil Company, and North Oil Company. These SOEs play a key role in oil sales, revenue collection, and financial transfers between the government and the extractive sector. While Iraq has led the region in publishing SOE financial statements and crude oil export data, transparency on financial flows between SOEs and the state remains incomplete.</w:t>
      </w:r>
    </w:p>
    <w:p w14:paraId="44259069" w14:textId="77777777" w:rsidR="00074AEE" w:rsidRPr="00A3573B" w:rsidRDefault="00074AEE"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Key Gaps Identified</w:t>
      </w:r>
    </w:p>
    <w:p w14:paraId="14EE9E00" w14:textId="77777777" w:rsidR="009C73CC" w:rsidRPr="00A3573B" w:rsidRDefault="00074AEE"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comprehensive review of SOEs’ financial relations with the state beyond unaudited financial statements.</w:t>
      </w:r>
    </w:p>
    <w:p w14:paraId="5D46AF2E" w14:textId="77777777" w:rsidR="009C73CC" w:rsidRPr="00A3573B" w:rsidRDefault="00074AEE"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assessment of retained earnings, reinvestment, or third-party financing for SOEs.</w:t>
      </w:r>
    </w:p>
    <w:p w14:paraId="3492DADF" w14:textId="77777777" w:rsidR="009C73CC" w:rsidRPr="00A3573B" w:rsidRDefault="00074AEE"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Lack of clarity on financial terms of state participation in SOEs and oil projects.</w:t>
      </w:r>
    </w:p>
    <w:p w14:paraId="7021E1C9" w14:textId="2E599D24" w:rsidR="00074AEE" w:rsidRPr="00A3573B" w:rsidRDefault="00074AEE"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Unexplained USD 9.5 billion discrepancy between SOMO’s declared oil sales revenues and actual transfers to the Ministry of Finance.</w:t>
      </w:r>
    </w:p>
    <w:p w14:paraId="16ABEA13" w14:textId="10772EAB" w:rsidR="005106D7" w:rsidRPr="00A3573B" w:rsidRDefault="004E71F8" w:rsidP="00FD2B68">
      <w:pPr>
        <w:pStyle w:val="ListParagraph"/>
        <w:numPr>
          <w:ilvl w:val="0"/>
          <w:numId w:val="34"/>
        </w:numPr>
        <w:spacing w:before="120" w:after="120" w:line="240" w:lineRule="auto"/>
        <w:ind w:left="426" w:hanging="284"/>
        <w:jc w:val="both"/>
        <w:rPr>
          <w:rFonts w:ascii="Kohinoor Devanagari" w:hAnsi="Kohinoor Devanagari" w:cs="Kohinoor Devanagari"/>
          <w:b/>
          <w:bCs/>
          <w:sz w:val="22"/>
          <w:szCs w:val="22"/>
          <w:lang w:eastAsia="en-GB"/>
        </w:rPr>
      </w:pPr>
      <w:r>
        <w:rPr>
          <w:rFonts w:ascii="Kohinoor Devanagari" w:hAnsi="Kohinoor Devanagari" w:cs="Kohinoor Devanagari"/>
          <w:b/>
          <w:bCs/>
          <w:sz w:val="22"/>
          <w:szCs w:val="22"/>
          <w:lang w:eastAsia="en-GB"/>
        </w:rPr>
        <w:t xml:space="preserve"> </w:t>
      </w:r>
      <w:r w:rsidR="005106D7" w:rsidRPr="00A3573B">
        <w:rPr>
          <w:rFonts w:ascii="Kohinoor Devanagari" w:hAnsi="Kohinoor Devanagari" w:cs="Kohinoor Devanagari"/>
          <w:b/>
          <w:bCs/>
          <w:sz w:val="22"/>
          <w:szCs w:val="22"/>
          <w:lang w:eastAsia="en-GB"/>
        </w:rPr>
        <w:t>Requirement 4.2: Sale of State’s In-Kind Revenues</w:t>
      </w:r>
    </w:p>
    <w:p w14:paraId="17698D24" w14:textId="77777777" w:rsidR="00F7180F" w:rsidRPr="00A3573B" w:rsidRDefault="00F7180F" w:rsidP="00C33FCF">
      <w:pPr>
        <w:pStyle w:val="ListParagraph"/>
        <w:spacing w:before="120" w:after="120" w:line="240" w:lineRule="auto"/>
        <w:ind w:left="1440"/>
        <w:jc w:val="both"/>
        <w:rPr>
          <w:rFonts w:ascii="Kohinoor Devanagari" w:hAnsi="Kohinoor Devanagari" w:cs="Kohinoor Devanagari"/>
          <w:b/>
          <w:bCs/>
          <w:sz w:val="22"/>
          <w:szCs w:val="22"/>
          <w:lang w:eastAsia="en-GB"/>
        </w:rPr>
      </w:pPr>
    </w:p>
    <w:p w14:paraId="5C3FA3F5" w14:textId="77777777" w:rsidR="005106D7" w:rsidRPr="00A3573B" w:rsidRDefault="005106D7"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Relevance in Iraq</w:t>
      </w:r>
    </w:p>
    <w:p w14:paraId="1081CBAB" w14:textId="77777777" w:rsidR="005106D7" w:rsidRPr="00A3573B" w:rsidRDefault="005106D7"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Iraq collects in-kind revenues from crude oil and natural gas, which are marketed by SOMO. Iraq has pioneered cargo-level disclosures of crude oil exports, but transparency in domestic sales of oil and gas remains weak.</w:t>
      </w:r>
    </w:p>
    <w:p w14:paraId="5E6F148B" w14:textId="77777777" w:rsidR="005106D7" w:rsidRPr="00A3573B" w:rsidRDefault="005106D7"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Key Gaps Identified</w:t>
      </w:r>
    </w:p>
    <w:p w14:paraId="18D908F7" w14:textId="77777777" w:rsidR="005106D7" w:rsidRPr="00A3573B" w:rsidRDefault="005106D7"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disclosure of domestic crude oil and gas sales to state-owned refineries and electricity generation plants.</w:t>
      </w:r>
    </w:p>
    <w:p w14:paraId="07ADD24E" w14:textId="77777777" w:rsidR="006761D7" w:rsidRPr="00A3573B" w:rsidRDefault="005106D7"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transparency on revenues from domestic gas sales.</w:t>
      </w:r>
    </w:p>
    <w:p w14:paraId="667405E4" w14:textId="1663A496" w:rsidR="005106D7" w:rsidRPr="00A3573B" w:rsidRDefault="005106D7"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Lack of reconciliation between SOMO’s crude oil sales revenues and actual deposits in government accounts.</w:t>
      </w:r>
    </w:p>
    <w:p w14:paraId="5FF0EC46" w14:textId="77777777" w:rsidR="003A59B5" w:rsidRPr="00BE1C69" w:rsidRDefault="003A59B5">
      <w:pPr>
        <w:rPr>
          <w:rFonts w:ascii="Kohinoor Devanagari" w:hAnsi="Kohinoor Devanagari" w:cs="Kohinoor Devanagari"/>
          <w:b/>
          <w:bCs/>
          <w:sz w:val="22"/>
          <w:szCs w:val="22"/>
          <w:lang w:eastAsia="en-GB"/>
        </w:rPr>
      </w:pPr>
      <w:r w:rsidRPr="00BE1C69">
        <w:rPr>
          <w:rFonts w:ascii="Kohinoor Devanagari" w:hAnsi="Kohinoor Devanagari" w:cs="Kohinoor Devanagari"/>
          <w:b/>
          <w:bCs/>
          <w:sz w:val="22"/>
          <w:szCs w:val="22"/>
          <w:lang w:eastAsia="en-GB"/>
        </w:rPr>
        <w:br w:type="page"/>
      </w:r>
    </w:p>
    <w:p w14:paraId="43848F82" w14:textId="40643924" w:rsidR="00B536FD" w:rsidRPr="00526732" w:rsidRDefault="00B536FD" w:rsidP="00FD2B68">
      <w:pPr>
        <w:pStyle w:val="ListParagraph"/>
        <w:numPr>
          <w:ilvl w:val="0"/>
          <w:numId w:val="34"/>
        </w:numPr>
        <w:spacing w:before="120" w:after="120" w:line="240" w:lineRule="auto"/>
        <w:ind w:left="426" w:hanging="284"/>
        <w:jc w:val="both"/>
        <w:rPr>
          <w:rFonts w:ascii="Kohinoor Devanagari" w:hAnsi="Kohinoor Devanagari" w:cs="Kohinoor Devanagari"/>
          <w:b/>
          <w:bCs/>
          <w:sz w:val="22"/>
          <w:szCs w:val="22"/>
          <w:lang w:val="fr-FR" w:eastAsia="en-GB"/>
        </w:rPr>
      </w:pPr>
      <w:proofErr w:type="spellStart"/>
      <w:r w:rsidRPr="00526732">
        <w:rPr>
          <w:rFonts w:ascii="Kohinoor Devanagari" w:hAnsi="Kohinoor Devanagari" w:cs="Kohinoor Devanagari"/>
          <w:b/>
          <w:bCs/>
          <w:sz w:val="22"/>
          <w:szCs w:val="22"/>
          <w:lang w:val="fr-FR" w:eastAsia="en-GB"/>
        </w:rPr>
        <w:t>Requirement</w:t>
      </w:r>
      <w:proofErr w:type="spellEnd"/>
      <w:r w:rsidRPr="00526732">
        <w:rPr>
          <w:rFonts w:ascii="Kohinoor Devanagari" w:hAnsi="Kohinoor Devanagari" w:cs="Kohinoor Devanagari"/>
          <w:b/>
          <w:bCs/>
          <w:sz w:val="22"/>
          <w:szCs w:val="22"/>
          <w:lang w:val="fr-FR" w:eastAsia="en-GB"/>
        </w:rPr>
        <w:t xml:space="preserve"> 6.2: Quasi-Fiscal </w:t>
      </w:r>
      <w:proofErr w:type="spellStart"/>
      <w:r w:rsidRPr="00526732">
        <w:rPr>
          <w:rFonts w:ascii="Kohinoor Devanagari" w:hAnsi="Kohinoor Devanagari" w:cs="Kohinoor Devanagari"/>
          <w:b/>
          <w:bCs/>
          <w:sz w:val="22"/>
          <w:szCs w:val="22"/>
          <w:lang w:val="fr-FR" w:eastAsia="en-GB"/>
        </w:rPr>
        <w:t>Expenditures</w:t>
      </w:r>
      <w:proofErr w:type="spellEnd"/>
      <w:r w:rsidRPr="00526732">
        <w:rPr>
          <w:rFonts w:ascii="Kohinoor Devanagari" w:hAnsi="Kohinoor Devanagari" w:cs="Kohinoor Devanagari"/>
          <w:b/>
          <w:bCs/>
          <w:sz w:val="22"/>
          <w:szCs w:val="22"/>
          <w:lang w:val="fr-FR" w:eastAsia="en-GB"/>
        </w:rPr>
        <w:t xml:space="preserve"> (</w:t>
      </w:r>
      <w:proofErr w:type="spellStart"/>
      <w:r w:rsidRPr="00526732">
        <w:rPr>
          <w:rFonts w:ascii="Kohinoor Devanagari" w:hAnsi="Kohinoor Devanagari" w:cs="Kohinoor Devanagari"/>
          <w:b/>
          <w:bCs/>
          <w:sz w:val="22"/>
          <w:szCs w:val="22"/>
          <w:lang w:val="fr-FR" w:eastAsia="en-GB"/>
        </w:rPr>
        <w:t>QFEs</w:t>
      </w:r>
      <w:proofErr w:type="spellEnd"/>
      <w:r w:rsidRPr="00526732">
        <w:rPr>
          <w:rFonts w:ascii="Kohinoor Devanagari" w:hAnsi="Kohinoor Devanagari" w:cs="Kohinoor Devanagari"/>
          <w:b/>
          <w:bCs/>
          <w:sz w:val="22"/>
          <w:szCs w:val="22"/>
          <w:lang w:val="fr-FR" w:eastAsia="en-GB"/>
        </w:rPr>
        <w:t>)</w:t>
      </w:r>
    </w:p>
    <w:p w14:paraId="52AFA655" w14:textId="77777777" w:rsidR="00DC14AE" w:rsidRPr="00A3573B" w:rsidRDefault="00DC14AE" w:rsidP="00DC14AE">
      <w:pPr>
        <w:pStyle w:val="ListParagraph"/>
        <w:spacing w:before="120" w:after="120" w:line="240" w:lineRule="auto"/>
        <w:ind w:left="426"/>
        <w:jc w:val="both"/>
        <w:rPr>
          <w:rFonts w:ascii="Kohinoor Devanagari" w:hAnsi="Kohinoor Devanagari" w:cs="Kohinoor Devanagari"/>
          <w:b/>
          <w:bCs/>
          <w:sz w:val="22"/>
          <w:szCs w:val="22"/>
          <w:lang w:val="fr-FR" w:eastAsia="en-GB"/>
        </w:rPr>
      </w:pPr>
    </w:p>
    <w:p w14:paraId="4F8251A8" w14:textId="77777777" w:rsidR="00B536FD" w:rsidRPr="00A3573B" w:rsidRDefault="00B536FD"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Relevance in Iraq</w:t>
      </w:r>
    </w:p>
    <w:p w14:paraId="5583754B" w14:textId="77777777" w:rsidR="00B536FD" w:rsidRPr="00A3573B" w:rsidRDefault="00B536FD"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For the first time, Iraq’s 2021 EITI Report disclosed quasi-fiscal expenditures (QFEs) by SOEs, such as unpaid debts from the Ministry of Electricity for oil deliveries and financial support to other SOEs and government agencies. However, the categorization of these expenditures remains unclear, with some expenses potentially falling under social expenditures rather than QFEs.</w:t>
      </w:r>
    </w:p>
    <w:p w14:paraId="799081B7" w14:textId="4E582398" w:rsidR="008B797F" w:rsidRPr="00A3573B" w:rsidRDefault="008B797F"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One of the largest outstanding quasi-fiscal liabilities is the USD 15.85 billion debt owed by the Ministry of Electricity to the Ministry of Oil over the past ten years, reflecting unpaid crude oil deliveries to power plants. The interest on this debt or potential debt write-offs could constitute a significant quasi-fiscal expenditure, but it has not been fully assessed or reported.</w:t>
      </w:r>
    </w:p>
    <w:p w14:paraId="2F37A13A" w14:textId="77777777" w:rsidR="00B536FD" w:rsidRPr="00A3573B" w:rsidRDefault="00B536FD"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Key Gaps Identified</w:t>
      </w:r>
    </w:p>
    <w:p w14:paraId="1E6A7CD0" w14:textId="77777777" w:rsidR="00C41983" w:rsidRPr="00A3573B" w:rsidRDefault="00C41983"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clear categorization of QFEs, with some expenses potentially falling under social expenditures rather than fiscal liabilities.</w:t>
      </w:r>
    </w:p>
    <w:p w14:paraId="2F031F66" w14:textId="77777777" w:rsidR="00C41983" w:rsidRPr="00A3573B" w:rsidRDefault="00C41983"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assessment of the financial impact of the USD 15.85 billion debt from the Ministry of Electricity, including interest costs or debt write-offs.</w:t>
      </w:r>
    </w:p>
    <w:p w14:paraId="20B86E18" w14:textId="7814E785" w:rsidR="000F3713" w:rsidRPr="00A3573B" w:rsidRDefault="00C41983"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comprehensive framework for tracking and disclosing QFEs beyond unaudited SOE financial statements.</w:t>
      </w:r>
    </w:p>
    <w:p w14:paraId="6D72939B" w14:textId="1948F791" w:rsidR="00A666F1" w:rsidRPr="00A3573B" w:rsidRDefault="00A666F1" w:rsidP="00FD2B68">
      <w:pPr>
        <w:pStyle w:val="Heading2"/>
        <w:numPr>
          <w:ilvl w:val="1"/>
          <w:numId w:val="75"/>
        </w:numPr>
        <w:spacing w:before="120" w:after="120" w:line="240" w:lineRule="auto"/>
        <w:ind w:left="426" w:hanging="426"/>
        <w:jc w:val="both"/>
        <w:rPr>
          <w:rFonts w:ascii="Kohinoor Devanagari" w:hAnsi="Kohinoor Devanagari" w:cs="Kohinoor Devanagari"/>
          <w:b/>
          <w:bCs/>
          <w:sz w:val="22"/>
          <w:szCs w:val="22"/>
        </w:rPr>
      </w:pPr>
      <w:bookmarkStart w:id="19" w:name="_Toc194240160"/>
      <w:bookmarkStart w:id="20" w:name="_Toc183821172"/>
      <w:r w:rsidRPr="00A3573B">
        <w:rPr>
          <w:rFonts w:ascii="Kohinoor Devanagari" w:hAnsi="Kohinoor Devanagari" w:cs="Kohinoor Devanagari"/>
          <w:b/>
          <w:bCs/>
          <w:sz w:val="22"/>
          <w:szCs w:val="22"/>
        </w:rPr>
        <w:t>Production and exports</w:t>
      </w:r>
      <w:bookmarkEnd w:id="19"/>
      <w:r w:rsidRPr="00A3573B">
        <w:rPr>
          <w:rFonts w:ascii="Kohinoor Devanagari" w:hAnsi="Kohinoor Devanagari" w:cs="Kohinoor Devanagari"/>
          <w:b/>
          <w:bCs/>
          <w:sz w:val="22"/>
          <w:szCs w:val="22"/>
        </w:rPr>
        <w:t xml:space="preserve"> </w:t>
      </w:r>
      <w:bookmarkEnd w:id="20"/>
    </w:p>
    <w:p w14:paraId="27EBFC32" w14:textId="42B7A186" w:rsidR="00887AA2" w:rsidRPr="00A3573B" w:rsidRDefault="00887AA2" w:rsidP="00FD2B68">
      <w:pPr>
        <w:pStyle w:val="ListParagraph"/>
        <w:numPr>
          <w:ilvl w:val="0"/>
          <w:numId w:val="35"/>
        </w:numPr>
        <w:spacing w:before="120" w:after="120" w:line="240" w:lineRule="auto"/>
        <w:ind w:left="567" w:hanging="283"/>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Requirement 3.2: Production Data</w:t>
      </w:r>
    </w:p>
    <w:p w14:paraId="4543E490" w14:textId="77777777" w:rsidR="00A666F1" w:rsidRPr="00A3573B" w:rsidRDefault="00A666F1" w:rsidP="00C33FCF">
      <w:pPr>
        <w:pStyle w:val="ListParagraph"/>
        <w:spacing w:before="120" w:after="120" w:line="240" w:lineRule="auto"/>
        <w:ind w:left="1440"/>
        <w:jc w:val="both"/>
        <w:rPr>
          <w:rFonts w:ascii="Kohinoor Devanagari" w:hAnsi="Kohinoor Devanagari" w:cs="Kohinoor Devanagari"/>
          <w:b/>
          <w:bCs/>
          <w:sz w:val="22"/>
          <w:szCs w:val="22"/>
          <w:lang w:eastAsia="en-GB"/>
        </w:rPr>
      </w:pPr>
    </w:p>
    <w:p w14:paraId="62EC06F3" w14:textId="6B539F04" w:rsidR="006615FF" w:rsidRPr="00A3573B" w:rsidRDefault="006615FF"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Relevance in Iraq</w:t>
      </w:r>
    </w:p>
    <w:p w14:paraId="13D3938A" w14:textId="77777777" w:rsidR="006615FF" w:rsidRPr="00A3573B" w:rsidRDefault="006615FF"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Iraq provides detailed oil and gas production volumes by NOC and project, with disaggregation by governorate. However, no production values are disclosed, limiting transparency on the economic contribution of extractive industries.</w:t>
      </w:r>
    </w:p>
    <w:p w14:paraId="36CFC0E4" w14:textId="77777777" w:rsidR="006615FF" w:rsidRPr="00A3573B" w:rsidRDefault="006615FF"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Additionally, past EITI reports (e.g., 2016) flagged inconsistencies in SOE production cost calculations, highlighting opportunities to improve valuation transparency.</w:t>
      </w:r>
    </w:p>
    <w:p w14:paraId="5B27C7AA" w14:textId="77777777" w:rsidR="006615FF" w:rsidRPr="00A3573B" w:rsidRDefault="006615FF"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Key Gaps Identified</w:t>
      </w:r>
    </w:p>
    <w:p w14:paraId="36D7B4D1" w14:textId="77777777" w:rsidR="00887AA2" w:rsidRPr="00A3573B" w:rsidRDefault="006615FF"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disclosure of production values for crude oil, natural gas, or minerals.</w:t>
      </w:r>
    </w:p>
    <w:p w14:paraId="4CFD84BD" w14:textId="77777777" w:rsidR="00887AA2" w:rsidRPr="00A3573B" w:rsidRDefault="006615FF"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transparency on how production volumes and values are calculated.</w:t>
      </w:r>
    </w:p>
    <w:p w14:paraId="2023A09F" w14:textId="2DE16E66" w:rsidR="006615FF" w:rsidRPr="00A3573B" w:rsidRDefault="006615FF"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Lack of clarity on informal oil and gas production amid reports of illicit petroleum activities.</w:t>
      </w:r>
    </w:p>
    <w:p w14:paraId="092C239A" w14:textId="53899B1F" w:rsidR="007B3466" w:rsidRPr="00A3573B" w:rsidRDefault="004E71F8" w:rsidP="00FD2B68">
      <w:pPr>
        <w:pStyle w:val="ListParagraph"/>
        <w:numPr>
          <w:ilvl w:val="0"/>
          <w:numId w:val="35"/>
        </w:numPr>
        <w:spacing w:before="120" w:after="120" w:line="240" w:lineRule="auto"/>
        <w:ind w:left="567" w:hanging="283"/>
        <w:jc w:val="both"/>
        <w:rPr>
          <w:rFonts w:ascii="Kohinoor Devanagari" w:hAnsi="Kohinoor Devanagari" w:cs="Kohinoor Devanagari"/>
          <w:b/>
          <w:bCs/>
          <w:sz w:val="22"/>
          <w:szCs w:val="22"/>
          <w:lang w:eastAsia="en-GB"/>
        </w:rPr>
      </w:pPr>
      <w:r>
        <w:rPr>
          <w:rFonts w:ascii="Kohinoor Devanagari" w:hAnsi="Kohinoor Devanagari" w:cs="Kohinoor Devanagari"/>
          <w:b/>
          <w:bCs/>
          <w:sz w:val="22"/>
          <w:szCs w:val="22"/>
          <w:lang w:eastAsia="en-GB"/>
        </w:rPr>
        <w:t xml:space="preserve"> </w:t>
      </w:r>
      <w:r w:rsidR="007B3466" w:rsidRPr="00A3573B">
        <w:rPr>
          <w:rFonts w:ascii="Kohinoor Devanagari" w:hAnsi="Kohinoor Devanagari" w:cs="Kohinoor Devanagari"/>
          <w:b/>
          <w:bCs/>
          <w:sz w:val="22"/>
          <w:szCs w:val="22"/>
          <w:lang w:eastAsia="en-GB"/>
        </w:rPr>
        <w:t>Requirement 3.3: Export Data</w:t>
      </w:r>
    </w:p>
    <w:p w14:paraId="67AD3253" w14:textId="77777777" w:rsidR="00AA5CE6" w:rsidRPr="00A3573B" w:rsidRDefault="00AA5CE6" w:rsidP="00C33FCF">
      <w:pPr>
        <w:pStyle w:val="ListParagraph"/>
        <w:spacing w:before="120" w:after="120" w:line="240" w:lineRule="auto"/>
        <w:ind w:left="567"/>
        <w:jc w:val="both"/>
        <w:rPr>
          <w:rFonts w:ascii="Kohinoor Devanagari" w:hAnsi="Kohinoor Devanagari" w:cs="Kohinoor Devanagari"/>
          <w:b/>
          <w:bCs/>
          <w:sz w:val="22"/>
          <w:szCs w:val="22"/>
          <w:lang w:eastAsia="en-GB"/>
        </w:rPr>
      </w:pPr>
    </w:p>
    <w:p w14:paraId="7D5E859C" w14:textId="77777777" w:rsidR="007B3466" w:rsidRPr="00A3573B" w:rsidRDefault="007B3466"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Relevance in Iraq</w:t>
      </w:r>
    </w:p>
    <w:p w14:paraId="2E38BA7E" w14:textId="77777777" w:rsidR="007B3466" w:rsidRPr="00A3573B" w:rsidRDefault="007B3466"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Iraq pioneers cargo-level crude oil export disclosures, with breakdowns by buyer and reconciliation with oil buyers. However, there is limited transparency on informal oil exports, which some reports estimate at over 3.5 million barrels per day.</w:t>
      </w:r>
    </w:p>
    <w:p w14:paraId="51574153" w14:textId="77777777" w:rsidR="007B3466" w:rsidRPr="00A3573B" w:rsidRDefault="007B3466"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Additionally, SOMO only publishes export data by port (Basra, Ceyhan), without buyer-level disaggregation. Comparing Iraq’s export data with trading partner import figures could help detect potential mispricing or discrepancies.</w:t>
      </w:r>
    </w:p>
    <w:p w14:paraId="1B71E6EB" w14:textId="77777777" w:rsidR="007B3466" w:rsidRPr="00A3573B" w:rsidRDefault="007B3466"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Key Gaps Identified</w:t>
      </w:r>
    </w:p>
    <w:p w14:paraId="7CF7A7B1" w14:textId="77777777" w:rsidR="002C7490" w:rsidRPr="00A3573B" w:rsidRDefault="007B3466"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reference to credible third-party estimates of informal exports (smuggling).</w:t>
      </w:r>
    </w:p>
    <w:p w14:paraId="1C137071" w14:textId="77777777" w:rsidR="002C7490" w:rsidRPr="00A3573B" w:rsidRDefault="007B3466"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comparison between Iraq’s official oil export data and import figures from destination countries.</w:t>
      </w:r>
    </w:p>
    <w:p w14:paraId="7BB49012" w14:textId="591BD6FC" w:rsidR="007B3466" w:rsidRPr="00A3573B" w:rsidRDefault="007B3466"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Limited details on refined petroleum product exports.</w:t>
      </w:r>
    </w:p>
    <w:p w14:paraId="7FAD7DFC" w14:textId="1F4E38E4" w:rsidR="00EC6449" w:rsidRPr="00A3573B" w:rsidRDefault="00EC6449" w:rsidP="00FD2B68">
      <w:pPr>
        <w:pStyle w:val="Heading2"/>
        <w:numPr>
          <w:ilvl w:val="1"/>
          <w:numId w:val="75"/>
        </w:numPr>
        <w:spacing w:before="120" w:after="120" w:line="240" w:lineRule="auto"/>
        <w:ind w:left="426" w:hanging="426"/>
        <w:jc w:val="both"/>
        <w:rPr>
          <w:rFonts w:ascii="Kohinoor Devanagari" w:hAnsi="Kohinoor Devanagari" w:cs="Kohinoor Devanagari"/>
          <w:b/>
          <w:bCs/>
          <w:sz w:val="22"/>
          <w:szCs w:val="22"/>
        </w:rPr>
      </w:pPr>
      <w:bookmarkStart w:id="21" w:name="_Toc194240161"/>
      <w:bookmarkStart w:id="22" w:name="_Toc183821173"/>
      <w:r w:rsidRPr="00A3573B">
        <w:rPr>
          <w:rFonts w:ascii="Kohinoor Devanagari" w:hAnsi="Kohinoor Devanagari" w:cs="Kohinoor Devanagari"/>
          <w:b/>
          <w:bCs/>
          <w:sz w:val="22"/>
          <w:szCs w:val="22"/>
        </w:rPr>
        <w:t>Revenue collection</w:t>
      </w:r>
      <w:bookmarkEnd w:id="21"/>
      <w:r w:rsidRPr="00A3573B">
        <w:rPr>
          <w:rFonts w:ascii="Kohinoor Devanagari" w:hAnsi="Kohinoor Devanagari" w:cs="Kohinoor Devanagari"/>
          <w:b/>
          <w:bCs/>
          <w:sz w:val="22"/>
          <w:szCs w:val="22"/>
        </w:rPr>
        <w:t xml:space="preserve"> </w:t>
      </w:r>
      <w:bookmarkEnd w:id="22"/>
    </w:p>
    <w:p w14:paraId="1B568452" w14:textId="77777777" w:rsidR="00003869" w:rsidRPr="00A3573B" w:rsidRDefault="00003869" w:rsidP="00FD2B68">
      <w:pPr>
        <w:pStyle w:val="ListParagraph"/>
        <w:numPr>
          <w:ilvl w:val="0"/>
          <w:numId w:val="36"/>
        </w:numPr>
        <w:spacing w:before="120" w:after="120" w:line="240" w:lineRule="auto"/>
        <w:ind w:left="567" w:hanging="283"/>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Requirement 4.1: Comprehensive Disclosure of Taxes and Revenues</w:t>
      </w:r>
    </w:p>
    <w:p w14:paraId="655D9990" w14:textId="77777777" w:rsidR="00714495" w:rsidRPr="00A3573B" w:rsidRDefault="00714495" w:rsidP="00C33FCF">
      <w:pPr>
        <w:pStyle w:val="ListParagraph"/>
        <w:spacing w:before="120" w:after="120" w:line="240" w:lineRule="auto"/>
        <w:ind w:left="567"/>
        <w:jc w:val="both"/>
        <w:rPr>
          <w:rFonts w:ascii="Kohinoor Devanagari" w:hAnsi="Kohinoor Devanagari" w:cs="Kohinoor Devanagari"/>
          <w:b/>
          <w:bCs/>
          <w:sz w:val="22"/>
          <w:szCs w:val="22"/>
          <w:lang w:eastAsia="en-GB"/>
        </w:rPr>
      </w:pPr>
    </w:p>
    <w:p w14:paraId="611EFEE6" w14:textId="77777777" w:rsidR="00003869" w:rsidRPr="00A3573B" w:rsidRDefault="00003869"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Relevance in Iraq</w:t>
      </w:r>
    </w:p>
    <w:p w14:paraId="7D25B7D6" w14:textId="77777777" w:rsidR="00003869" w:rsidRPr="00A3573B" w:rsidRDefault="00003869"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Iraq’s oil sector operates under a service contract regime, where revenues are primarily generated through crude oil sales by SOMO. The 2021 EITI Report disclosed USD 59.85 billion in crude oil sales, but several key payment flows remain omitted, affecting the assessment of net revenue to the state.</w:t>
      </w:r>
    </w:p>
    <w:p w14:paraId="2B0A775E" w14:textId="77777777" w:rsidR="00003869" w:rsidRPr="00A3573B" w:rsidRDefault="00003869"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Key Gaps Identified</w:t>
      </w:r>
    </w:p>
    <w:p w14:paraId="21ADA4B1" w14:textId="4374F7EF" w:rsidR="00EC6449" w:rsidRPr="00A3573B" w:rsidRDefault="00003869"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Demurrage costs (penalty fees paid by SOMO for oil loading delays) are not disclosed.</w:t>
      </w:r>
    </w:p>
    <w:p w14:paraId="7E36341C" w14:textId="50776E76" w:rsidR="00EC6449" w:rsidRPr="00A3573B" w:rsidRDefault="00003869"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Internal service payments to SOEs for production costs are missing.</w:t>
      </w:r>
    </w:p>
    <w:p w14:paraId="093F0800" w14:textId="6BA99D8F" w:rsidR="00EC6449" w:rsidRPr="00A3573B" w:rsidRDefault="00003869"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Incomplete company reporting, with only 71% of IOCs and 61% of oil buyers submitting data.</w:t>
      </w:r>
    </w:p>
    <w:p w14:paraId="4B9216E8" w14:textId="7423C5C3" w:rsidR="00003869" w:rsidRPr="00A3573B" w:rsidRDefault="00003869"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reconciliation of crude oil lifting payments by revenue stream (remuneration fees vs. cost recovery).</w:t>
      </w:r>
    </w:p>
    <w:p w14:paraId="70F078CF" w14:textId="09582CE9" w:rsidR="00D27738" w:rsidRPr="00A3573B" w:rsidRDefault="00700BA2" w:rsidP="00FD2B68">
      <w:pPr>
        <w:pStyle w:val="ListParagraph"/>
        <w:numPr>
          <w:ilvl w:val="0"/>
          <w:numId w:val="36"/>
        </w:numPr>
        <w:spacing w:before="120" w:after="120" w:line="240" w:lineRule="auto"/>
        <w:ind w:left="567" w:hanging="283"/>
        <w:jc w:val="both"/>
        <w:rPr>
          <w:rFonts w:ascii="Kohinoor Devanagari" w:hAnsi="Kohinoor Devanagari" w:cs="Kohinoor Devanagari"/>
          <w:b/>
          <w:bCs/>
          <w:sz w:val="22"/>
          <w:szCs w:val="22"/>
          <w:lang w:eastAsia="en-GB"/>
        </w:rPr>
      </w:pPr>
      <w:r>
        <w:rPr>
          <w:rFonts w:ascii="Kohinoor Devanagari" w:hAnsi="Kohinoor Devanagari" w:cs="Kohinoor Devanagari"/>
          <w:b/>
          <w:bCs/>
          <w:sz w:val="22"/>
          <w:szCs w:val="22"/>
          <w:lang w:eastAsia="en-GB"/>
        </w:rPr>
        <w:t xml:space="preserve"> </w:t>
      </w:r>
      <w:r w:rsidR="00D27738" w:rsidRPr="00A3573B">
        <w:rPr>
          <w:rFonts w:ascii="Kohinoor Devanagari" w:hAnsi="Kohinoor Devanagari" w:cs="Kohinoor Devanagari"/>
          <w:b/>
          <w:bCs/>
          <w:sz w:val="22"/>
          <w:szCs w:val="22"/>
          <w:lang w:eastAsia="en-GB"/>
        </w:rPr>
        <w:t>Requirement 4.3: Infrastructure Provisions and Barter Arrangements</w:t>
      </w:r>
    </w:p>
    <w:p w14:paraId="00593181" w14:textId="77777777" w:rsidR="00714495" w:rsidRPr="00A3573B" w:rsidRDefault="00714495" w:rsidP="00C33FCF">
      <w:pPr>
        <w:pStyle w:val="ListParagraph"/>
        <w:spacing w:before="120" w:after="120" w:line="240" w:lineRule="auto"/>
        <w:ind w:left="567"/>
        <w:jc w:val="both"/>
        <w:rPr>
          <w:rFonts w:ascii="Kohinoor Devanagari" w:hAnsi="Kohinoor Devanagari" w:cs="Kohinoor Devanagari"/>
          <w:b/>
          <w:bCs/>
          <w:sz w:val="22"/>
          <w:szCs w:val="22"/>
          <w:lang w:eastAsia="en-GB"/>
        </w:rPr>
      </w:pPr>
    </w:p>
    <w:p w14:paraId="5457905D" w14:textId="77777777" w:rsidR="00D27738" w:rsidRPr="00A3573B" w:rsidRDefault="00D27738"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Relevance in Iraq</w:t>
      </w:r>
    </w:p>
    <w:p w14:paraId="3E4A20AB" w14:textId="77777777" w:rsidR="00D27738" w:rsidRPr="00A3573B" w:rsidRDefault="00D27738"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Iraq has a resource-backed loan agreement under the China-Iraq Cooperation Framework, where 100,000–150,000 barrels per day (bpd) of crude oil are allocated to infrastructure financing.</w:t>
      </w:r>
    </w:p>
    <w:p w14:paraId="3CD414A4" w14:textId="378CFD12" w:rsidR="00D27738" w:rsidRPr="00A3573B" w:rsidRDefault="00D27738"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Key Gaps Identified</w:t>
      </w:r>
    </w:p>
    <w:p w14:paraId="140F79D3" w14:textId="77777777" w:rsidR="00D27738" w:rsidRPr="00A3573B" w:rsidRDefault="00D27738"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disclosure of total loan value, interest rates, or repayment terms.</w:t>
      </w:r>
    </w:p>
    <w:p w14:paraId="3BB6A644" w14:textId="77777777" w:rsidR="00D27738" w:rsidRPr="00A3573B" w:rsidRDefault="00D27738"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clarity on infrastructure projects financed under the agreement.</w:t>
      </w:r>
    </w:p>
    <w:p w14:paraId="2F28AD39" w14:textId="73DE538F" w:rsidR="00D27738" w:rsidRPr="00A3573B" w:rsidRDefault="00D27738"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tracking of loan disbursements and their impact on state revenue.</w:t>
      </w:r>
    </w:p>
    <w:p w14:paraId="576917A7" w14:textId="77777777" w:rsidR="004255FE" w:rsidRPr="00A3573B" w:rsidRDefault="004255FE" w:rsidP="00FD2B68">
      <w:pPr>
        <w:pStyle w:val="ListParagraph"/>
        <w:numPr>
          <w:ilvl w:val="0"/>
          <w:numId w:val="36"/>
        </w:numPr>
        <w:spacing w:before="120" w:after="120" w:line="240" w:lineRule="auto"/>
        <w:ind w:left="567" w:hanging="283"/>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Requirement 4.4: Transportation Revenues</w:t>
      </w:r>
    </w:p>
    <w:p w14:paraId="3D2690EA" w14:textId="77777777" w:rsidR="00714495" w:rsidRPr="00A3573B" w:rsidRDefault="00714495" w:rsidP="00C33FCF">
      <w:pPr>
        <w:pStyle w:val="ListParagraph"/>
        <w:spacing w:before="120" w:after="120" w:line="240" w:lineRule="auto"/>
        <w:ind w:left="567"/>
        <w:jc w:val="both"/>
        <w:rPr>
          <w:rFonts w:ascii="Kohinoor Devanagari" w:hAnsi="Kohinoor Devanagari" w:cs="Kohinoor Devanagari"/>
          <w:b/>
          <w:bCs/>
          <w:sz w:val="22"/>
          <w:szCs w:val="22"/>
          <w:lang w:eastAsia="en-GB"/>
        </w:rPr>
      </w:pPr>
    </w:p>
    <w:p w14:paraId="75BD3A74" w14:textId="77777777" w:rsidR="004255FE" w:rsidRPr="00A3573B" w:rsidRDefault="004255FE"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Relevance in Iraq</w:t>
      </w:r>
    </w:p>
    <w:p w14:paraId="647B7579" w14:textId="3F55F30D" w:rsidR="004255FE" w:rsidRPr="00A3573B" w:rsidRDefault="004255FE"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Iraq does not generate transit fees from third-party oil or gas transportation, as all oil and gas infrastructure is state-owned. This requirement remains not applicable.</w:t>
      </w:r>
    </w:p>
    <w:p w14:paraId="168282C8" w14:textId="77777777" w:rsidR="00714495" w:rsidRPr="00A3573B" w:rsidRDefault="00714495" w:rsidP="00FD2B68">
      <w:pPr>
        <w:pStyle w:val="ListParagraph"/>
        <w:numPr>
          <w:ilvl w:val="0"/>
          <w:numId w:val="36"/>
        </w:numPr>
        <w:spacing w:before="120" w:after="120" w:line="240" w:lineRule="auto"/>
        <w:ind w:left="567" w:hanging="283"/>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Requirement 4.7: Level of Disaggregation</w:t>
      </w:r>
    </w:p>
    <w:p w14:paraId="31819BE8" w14:textId="77777777" w:rsidR="00714495" w:rsidRPr="00A3573B" w:rsidRDefault="00714495" w:rsidP="00C33FCF">
      <w:pPr>
        <w:pStyle w:val="ListParagraph"/>
        <w:spacing w:before="120" w:after="120" w:line="240" w:lineRule="auto"/>
        <w:ind w:left="567"/>
        <w:jc w:val="both"/>
        <w:rPr>
          <w:rFonts w:ascii="Kohinoor Devanagari" w:hAnsi="Kohinoor Devanagari" w:cs="Kohinoor Devanagari"/>
          <w:b/>
          <w:bCs/>
          <w:sz w:val="22"/>
          <w:szCs w:val="22"/>
          <w:lang w:eastAsia="en-GB"/>
        </w:rPr>
      </w:pPr>
    </w:p>
    <w:p w14:paraId="27DFED1A" w14:textId="77777777" w:rsidR="00714495" w:rsidRPr="00A3573B" w:rsidRDefault="00714495"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Relevance in Iraq</w:t>
      </w:r>
    </w:p>
    <w:p w14:paraId="5497CBFF" w14:textId="77777777" w:rsidR="00714495" w:rsidRPr="00A3573B" w:rsidRDefault="00714495"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Iraq’s EITI reporting includes detailed oil export data but lacks consistent disaggregation of payments by revenue stream and company.</w:t>
      </w:r>
    </w:p>
    <w:p w14:paraId="5E79CF66" w14:textId="77777777" w:rsidR="00714495" w:rsidRPr="00A3573B" w:rsidRDefault="00714495"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Key Gaps Identified</w:t>
      </w:r>
    </w:p>
    <w:p w14:paraId="2FD75324" w14:textId="77777777" w:rsidR="00E11184" w:rsidRPr="00A3573B" w:rsidRDefault="00714495"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Crude oil lifting payments are not broken down by remuneration fees and cost recovery.</w:t>
      </w:r>
    </w:p>
    <w:p w14:paraId="3EC2A9E9" w14:textId="28EAD7AD" w:rsidR="00E11184" w:rsidRPr="00A3573B" w:rsidRDefault="00714495"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Demurrage costs are reported as a lump sum, not by recipient company.</w:t>
      </w:r>
    </w:p>
    <w:p w14:paraId="02166D20" w14:textId="1FF07A74" w:rsidR="00714495" w:rsidRPr="00A3573B" w:rsidRDefault="00714495"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agreed definition of "project" for revenue disaggregation.</w:t>
      </w:r>
    </w:p>
    <w:p w14:paraId="555E0CCF" w14:textId="7ADABF6D" w:rsidR="0077579C" w:rsidRPr="00A3573B" w:rsidRDefault="0077579C" w:rsidP="00FD2B68">
      <w:pPr>
        <w:pStyle w:val="Heading2"/>
        <w:numPr>
          <w:ilvl w:val="1"/>
          <w:numId w:val="75"/>
        </w:numPr>
        <w:spacing w:before="120" w:after="120" w:line="240" w:lineRule="auto"/>
        <w:ind w:left="426" w:hanging="426"/>
        <w:jc w:val="both"/>
        <w:rPr>
          <w:rFonts w:ascii="Kohinoor Devanagari" w:hAnsi="Kohinoor Devanagari" w:cs="Kohinoor Devanagari"/>
          <w:b/>
          <w:bCs/>
          <w:sz w:val="22"/>
          <w:szCs w:val="22"/>
        </w:rPr>
      </w:pPr>
      <w:bookmarkStart w:id="23" w:name="_Toc194240162"/>
      <w:bookmarkStart w:id="24" w:name="_Toc183821174"/>
      <w:r w:rsidRPr="00A3573B">
        <w:rPr>
          <w:rFonts w:ascii="Kohinoor Devanagari" w:hAnsi="Kohinoor Devanagari" w:cs="Kohinoor Devanagari"/>
          <w:b/>
          <w:bCs/>
          <w:sz w:val="22"/>
          <w:szCs w:val="22"/>
        </w:rPr>
        <w:t>Revenue management</w:t>
      </w:r>
      <w:bookmarkEnd w:id="23"/>
      <w:r w:rsidRPr="00A3573B">
        <w:rPr>
          <w:rFonts w:ascii="Kohinoor Devanagari" w:hAnsi="Kohinoor Devanagari" w:cs="Kohinoor Devanagari"/>
          <w:b/>
          <w:bCs/>
          <w:sz w:val="22"/>
          <w:szCs w:val="22"/>
        </w:rPr>
        <w:t xml:space="preserve"> </w:t>
      </w:r>
      <w:bookmarkEnd w:id="24"/>
    </w:p>
    <w:p w14:paraId="7B532BE5" w14:textId="77777777" w:rsidR="0054462E" w:rsidRPr="00A3573B" w:rsidRDefault="0054462E" w:rsidP="00FD2B68">
      <w:pPr>
        <w:pStyle w:val="ListParagraph"/>
        <w:numPr>
          <w:ilvl w:val="0"/>
          <w:numId w:val="37"/>
        </w:numPr>
        <w:spacing w:before="120" w:after="120" w:line="240" w:lineRule="auto"/>
        <w:ind w:left="567" w:hanging="425"/>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Requirement 5.1: Distribution of Extractive Revenues</w:t>
      </w:r>
    </w:p>
    <w:p w14:paraId="6E327249" w14:textId="77777777" w:rsidR="00374D04" w:rsidRPr="00A3573B" w:rsidRDefault="00374D04" w:rsidP="00C33FCF">
      <w:pPr>
        <w:pStyle w:val="ListParagraph"/>
        <w:spacing w:before="120" w:after="120" w:line="240" w:lineRule="auto"/>
        <w:ind w:left="567"/>
        <w:jc w:val="both"/>
        <w:rPr>
          <w:rFonts w:ascii="Kohinoor Devanagari" w:hAnsi="Kohinoor Devanagari" w:cs="Kohinoor Devanagari"/>
          <w:b/>
          <w:bCs/>
          <w:sz w:val="22"/>
          <w:szCs w:val="22"/>
          <w:lang w:eastAsia="en-GB"/>
        </w:rPr>
      </w:pPr>
    </w:p>
    <w:p w14:paraId="40C7DFC3" w14:textId="77777777" w:rsidR="0054462E" w:rsidRPr="00A3573B" w:rsidRDefault="0054462E"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Relevance in Iraq</w:t>
      </w:r>
    </w:p>
    <w:p w14:paraId="4EE00126" w14:textId="77777777" w:rsidR="0054462E" w:rsidRPr="00A3573B" w:rsidRDefault="0054462E"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Iraq’s oil revenues flow through the offshore Oil and Gas Revenues Account (OGRA) at the Federal Reserve Bank of New York (FRBNY) before being transferred to the Development Fund for Iraq (DFI) and ultimately to the Ministry of Finance’s account at the Central Bank of Iraq. However, there is no clarity on which extractive revenues are recorded in the national budget and which are retained by SOEs or other entities.</w:t>
      </w:r>
    </w:p>
    <w:p w14:paraId="0298E952" w14:textId="77777777" w:rsidR="0054462E" w:rsidRPr="00A3573B" w:rsidRDefault="0054462E"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Key revenue flows, such as internal service payments to SOEs and fees linked to demurrage costs, are not transparently disclosed, raising concerns about off-budget transactions.</w:t>
      </w:r>
    </w:p>
    <w:p w14:paraId="3F3BB273" w14:textId="34FC67CF" w:rsidR="0054462E" w:rsidRPr="00A3573B" w:rsidRDefault="0054462E"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Key Gaps Identified</w:t>
      </w:r>
    </w:p>
    <w:p w14:paraId="5FB419CC" w14:textId="3DAEFA40" w:rsidR="006F49DC" w:rsidRPr="00A3573B" w:rsidRDefault="0054462E"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clarity on which oil and gas revenues are included in the national budget.</w:t>
      </w:r>
    </w:p>
    <w:p w14:paraId="470B2523" w14:textId="396C88F3" w:rsidR="006F49DC" w:rsidRPr="00A3573B" w:rsidRDefault="0054462E"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public disclosure of audited financial statements for OGRA and DFI accounts.</w:t>
      </w:r>
    </w:p>
    <w:p w14:paraId="7039C071" w14:textId="791E3E8B" w:rsidR="0054462E" w:rsidRPr="00A3573B" w:rsidRDefault="0054462E"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Unclear treatment of retained SOE earnings and off-budget transactions.</w:t>
      </w:r>
    </w:p>
    <w:p w14:paraId="62BCB34B" w14:textId="77777777" w:rsidR="00CD46DB" w:rsidRPr="00A3573B" w:rsidRDefault="00CD46DB" w:rsidP="00FD2B68">
      <w:pPr>
        <w:pStyle w:val="ListParagraph"/>
        <w:numPr>
          <w:ilvl w:val="0"/>
          <w:numId w:val="37"/>
        </w:numPr>
        <w:spacing w:before="120" w:after="120" w:line="240" w:lineRule="auto"/>
        <w:ind w:left="567" w:hanging="425"/>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Requirement 5.3: Revenue Management and Expenditures</w:t>
      </w:r>
    </w:p>
    <w:p w14:paraId="24B23CBC" w14:textId="77777777" w:rsidR="00CD46DB" w:rsidRPr="00A3573B" w:rsidRDefault="00CD46DB" w:rsidP="00C33FCF">
      <w:pPr>
        <w:pStyle w:val="ListParagraph"/>
        <w:spacing w:before="120" w:after="120" w:line="240" w:lineRule="auto"/>
        <w:ind w:left="567"/>
        <w:jc w:val="both"/>
        <w:rPr>
          <w:rFonts w:ascii="Kohinoor Devanagari" w:hAnsi="Kohinoor Devanagari" w:cs="Kohinoor Devanagari"/>
          <w:b/>
          <w:bCs/>
          <w:sz w:val="22"/>
          <w:szCs w:val="22"/>
          <w:lang w:eastAsia="en-GB"/>
        </w:rPr>
      </w:pPr>
    </w:p>
    <w:p w14:paraId="7C3725CD" w14:textId="77777777" w:rsidR="00CD46DB" w:rsidRPr="00A3573B" w:rsidRDefault="00CD46DB"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Relevance in Iraq</w:t>
      </w:r>
    </w:p>
    <w:p w14:paraId="6AB21657" w14:textId="77777777" w:rsidR="00CD46DB" w:rsidRPr="00A3573B" w:rsidRDefault="00CD46DB"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Iraq does not provide public insights into how extractive revenues are managed or allocated beyond basic descriptions of budget and audit cycles. Key fiscal assumptions, such as expected oil prices and revenue forecasts, are not disclosed, limiting public oversight.</w:t>
      </w:r>
    </w:p>
    <w:p w14:paraId="4D1004F6" w14:textId="1CEE4591" w:rsidR="00CD46DB" w:rsidRPr="00A3573B" w:rsidRDefault="00CD46DB"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Given Iraq’s rising fiscal break-even oil price (from USD 54 in 2021 to USD 94 in 2024), there is a need for transparency in revenue planning and budget sustainability.</w:t>
      </w:r>
    </w:p>
    <w:p w14:paraId="7A9B26C8" w14:textId="77777777" w:rsidR="00CD46DB" w:rsidRPr="00A3573B" w:rsidRDefault="00CD46DB"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Key Gaps Identified</w:t>
      </w:r>
    </w:p>
    <w:p w14:paraId="36156C81" w14:textId="15630DC9" w:rsidR="00145C81" w:rsidRPr="00A3573B" w:rsidRDefault="00CD46DB"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public disclosure of future revenue forecasts or fiscal assumptions in the budget cycle.</w:t>
      </w:r>
    </w:p>
    <w:p w14:paraId="5C6BB522" w14:textId="77777777" w:rsidR="00145C81" w:rsidRPr="00A3573B" w:rsidRDefault="00CD46DB"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reporting on planned extractive revenue allocations or sovereign wealth fund contributions.</w:t>
      </w:r>
    </w:p>
    <w:p w14:paraId="2D2BC98F" w14:textId="5AC5416C" w:rsidR="00CD46DB" w:rsidRPr="00A3573B" w:rsidRDefault="00CD46DB"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insights into efficiency or accountability mechanisms for extractive revenue spending.</w:t>
      </w:r>
    </w:p>
    <w:p w14:paraId="4C0FAA6E" w14:textId="34EEB50E" w:rsidR="00AA420D" w:rsidRPr="00A3573B" w:rsidRDefault="00AA420D" w:rsidP="00FD2B68">
      <w:pPr>
        <w:pStyle w:val="Heading2"/>
        <w:numPr>
          <w:ilvl w:val="1"/>
          <w:numId w:val="75"/>
        </w:numPr>
        <w:spacing w:before="120" w:after="120" w:line="240" w:lineRule="auto"/>
        <w:ind w:left="426" w:hanging="426"/>
        <w:jc w:val="both"/>
        <w:rPr>
          <w:rFonts w:ascii="Kohinoor Devanagari" w:hAnsi="Kohinoor Devanagari" w:cs="Kohinoor Devanagari"/>
          <w:b/>
          <w:bCs/>
          <w:sz w:val="22"/>
          <w:szCs w:val="22"/>
        </w:rPr>
      </w:pPr>
      <w:bookmarkStart w:id="25" w:name="_Toc194240163"/>
      <w:bookmarkStart w:id="26" w:name="_Toc183821175"/>
      <w:r w:rsidRPr="00A3573B">
        <w:rPr>
          <w:rFonts w:ascii="Kohinoor Devanagari" w:hAnsi="Kohinoor Devanagari" w:cs="Kohinoor Devanagari"/>
          <w:b/>
          <w:bCs/>
          <w:sz w:val="22"/>
          <w:szCs w:val="22"/>
        </w:rPr>
        <w:t>Subnational contribution</w:t>
      </w:r>
      <w:bookmarkEnd w:id="25"/>
      <w:r w:rsidRPr="00A3573B">
        <w:rPr>
          <w:rFonts w:ascii="Kohinoor Devanagari" w:hAnsi="Kohinoor Devanagari" w:cs="Kohinoor Devanagari"/>
          <w:b/>
          <w:bCs/>
          <w:sz w:val="22"/>
          <w:szCs w:val="22"/>
        </w:rPr>
        <w:t xml:space="preserve"> </w:t>
      </w:r>
      <w:bookmarkEnd w:id="26"/>
    </w:p>
    <w:p w14:paraId="344CB84C" w14:textId="77777777" w:rsidR="00412C4C" w:rsidRPr="00A3573B" w:rsidRDefault="00412C4C" w:rsidP="00FD2B68">
      <w:pPr>
        <w:pStyle w:val="ListParagraph"/>
        <w:numPr>
          <w:ilvl w:val="0"/>
          <w:numId w:val="38"/>
        </w:numPr>
        <w:spacing w:before="120" w:after="120" w:line="240" w:lineRule="auto"/>
        <w:ind w:left="567" w:hanging="283"/>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Requirement 4.6: Subnational Payments</w:t>
      </w:r>
    </w:p>
    <w:p w14:paraId="0CD7D4F5" w14:textId="77777777" w:rsidR="00D81FF3" w:rsidRPr="00A3573B" w:rsidRDefault="00D81FF3" w:rsidP="00C33FCF">
      <w:pPr>
        <w:pStyle w:val="ListParagraph"/>
        <w:spacing w:before="120" w:after="120" w:line="240" w:lineRule="auto"/>
        <w:ind w:left="567"/>
        <w:jc w:val="both"/>
        <w:rPr>
          <w:rFonts w:ascii="Kohinoor Devanagari" w:hAnsi="Kohinoor Devanagari" w:cs="Kohinoor Devanagari"/>
          <w:b/>
          <w:bCs/>
          <w:sz w:val="22"/>
          <w:szCs w:val="22"/>
          <w:lang w:eastAsia="en-GB"/>
        </w:rPr>
      </w:pPr>
    </w:p>
    <w:p w14:paraId="7E470BDB" w14:textId="77777777" w:rsidR="00412C4C" w:rsidRPr="00A3573B" w:rsidRDefault="00412C4C"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Relevance in Iraq</w:t>
      </w:r>
    </w:p>
    <w:p w14:paraId="069EBF02" w14:textId="77777777" w:rsidR="00412C4C" w:rsidRPr="00A3573B" w:rsidRDefault="00412C4C"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Direct subnational payments by extractive companies only occur in the Kurdistan Regional Government (KRG). However, Iraq’s EITI reports do not systematically track company payments to the KRG or assess their completeness. No engagement with KRG authorities or IOCs operating in Kurdistan has occurred since 2013, limiting transparency.</w:t>
      </w:r>
    </w:p>
    <w:p w14:paraId="13125951" w14:textId="77777777" w:rsidR="00412C4C" w:rsidRPr="00A3573B" w:rsidRDefault="00412C4C"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Key Gaps Identified</w:t>
      </w:r>
    </w:p>
    <w:p w14:paraId="4B2C192A" w14:textId="77777777" w:rsidR="00D81FF3" w:rsidRPr="00A3573B" w:rsidRDefault="00412C4C"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 xml:space="preserve"> No systematic engagement with KRG or oil companies operating in Kurdistan.</w:t>
      </w:r>
    </w:p>
    <w:p w14:paraId="7363A455" w14:textId="4A5D202A" w:rsidR="00D81FF3" w:rsidRPr="00A3573B" w:rsidRDefault="00412C4C"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comprehensive tracking of KRG oil revenues, including oil-backed loans.</w:t>
      </w:r>
    </w:p>
    <w:p w14:paraId="41F924A2" w14:textId="4BBA07D5" w:rsidR="00412C4C" w:rsidRPr="00A3573B" w:rsidRDefault="00412C4C"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review of publicly available KRG disclosures or oil companies’ payments to KRG.</w:t>
      </w:r>
    </w:p>
    <w:p w14:paraId="16A24E27" w14:textId="77777777" w:rsidR="006E447F" w:rsidRPr="00A3573B" w:rsidRDefault="006E447F" w:rsidP="00FD2B68">
      <w:pPr>
        <w:pStyle w:val="ListParagraph"/>
        <w:numPr>
          <w:ilvl w:val="0"/>
          <w:numId w:val="38"/>
        </w:numPr>
        <w:spacing w:before="120" w:after="120" w:line="240" w:lineRule="auto"/>
        <w:ind w:left="567" w:hanging="283"/>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Requirement 5.2: Subnational Transfers</w:t>
      </w:r>
    </w:p>
    <w:p w14:paraId="44AE9D98" w14:textId="77777777" w:rsidR="006E447F" w:rsidRPr="00A3573B" w:rsidRDefault="006E447F" w:rsidP="00C33FCF">
      <w:pPr>
        <w:pStyle w:val="ListParagraph"/>
        <w:spacing w:before="120" w:after="120" w:line="240" w:lineRule="auto"/>
        <w:ind w:left="567"/>
        <w:jc w:val="both"/>
        <w:rPr>
          <w:rFonts w:ascii="Kohinoor Devanagari" w:hAnsi="Kohinoor Devanagari" w:cs="Kohinoor Devanagari"/>
          <w:b/>
          <w:bCs/>
          <w:sz w:val="22"/>
          <w:szCs w:val="22"/>
          <w:lang w:eastAsia="en-GB"/>
        </w:rPr>
      </w:pPr>
    </w:p>
    <w:p w14:paraId="6B9CF63F" w14:textId="77777777" w:rsidR="006E447F" w:rsidRPr="00A3573B" w:rsidRDefault="006E447F"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Relevance in Iraq</w:t>
      </w:r>
    </w:p>
    <w:p w14:paraId="7F9FC50C" w14:textId="77777777" w:rsidR="006E447F" w:rsidRPr="00A3573B" w:rsidRDefault="006E447F"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Iraq transfers a portion of oil and gas revenues to Governorates through Petrodollar Allocations, but EITI reporting lacks transparency on actual transfers and revenue-sharing formulas. Stakeholders confirm that allocations occur but the formula is revised annually without clear documentation.</w:t>
      </w:r>
    </w:p>
    <w:p w14:paraId="2F57486F" w14:textId="77777777" w:rsidR="006E447F" w:rsidRPr="00A3573B" w:rsidRDefault="006E447F"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Key Gaps Identified</w:t>
      </w:r>
    </w:p>
    <w:p w14:paraId="157F58F3" w14:textId="77777777" w:rsidR="006E447F" w:rsidRPr="00A3573B" w:rsidRDefault="006E447F"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public disclosure of the actual amounts of subnational transfers.</w:t>
      </w:r>
    </w:p>
    <w:p w14:paraId="7DCD1069" w14:textId="52F6677F" w:rsidR="006E447F" w:rsidRPr="00A3573B" w:rsidRDefault="006E447F"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clarity on how or when the revenue-sharing formula is revised.</w:t>
      </w:r>
    </w:p>
    <w:p w14:paraId="42829388" w14:textId="170B0BDE" w:rsidR="006E447F" w:rsidRPr="00A3573B" w:rsidRDefault="006E447F"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reporting on how Governorates use these revenues.</w:t>
      </w:r>
    </w:p>
    <w:p w14:paraId="0990A7F9" w14:textId="77777777" w:rsidR="00833694" w:rsidRPr="00A3573B" w:rsidRDefault="00833694" w:rsidP="00FD2B68">
      <w:pPr>
        <w:pStyle w:val="ListParagraph"/>
        <w:numPr>
          <w:ilvl w:val="0"/>
          <w:numId w:val="38"/>
        </w:numPr>
        <w:spacing w:before="120" w:after="120" w:line="240" w:lineRule="auto"/>
        <w:ind w:left="567" w:hanging="283"/>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Requirement 6.1: Social and Environmental Expenditures</w:t>
      </w:r>
    </w:p>
    <w:p w14:paraId="0D7C27BA" w14:textId="77777777" w:rsidR="00833694" w:rsidRPr="00A3573B" w:rsidRDefault="00833694" w:rsidP="00C33FCF">
      <w:pPr>
        <w:pStyle w:val="ListParagraph"/>
        <w:spacing w:before="120" w:after="120" w:line="240" w:lineRule="auto"/>
        <w:ind w:left="567"/>
        <w:jc w:val="both"/>
        <w:rPr>
          <w:rFonts w:ascii="Kohinoor Devanagari" w:hAnsi="Kohinoor Devanagari" w:cs="Kohinoor Devanagari"/>
          <w:b/>
          <w:bCs/>
          <w:sz w:val="22"/>
          <w:szCs w:val="22"/>
          <w:lang w:eastAsia="en-GB"/>
        </w:rPr>
      </w:pPr>
    </w:p>
    <w:p w14:paraId="0D88A0DA" w14:textId="77777777" w:rsidR="00833694" w:rsidRPr="00A3573B" w:rsidRDefault="00833694"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Relevance in Iraq</w:t>
      </w:r>
    </w:p>
    <w:p w14:paraId="4D8F70CF" w14:textId="77777777" w:rsidR="00833694" w:rsidRPr="00A3573B" w:rsidRDefault="00833694" w:rsidP="00C33FCF">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Iraq’s 2021 EITI Report discloses mandatory social payments but lacks transparency on mandatory environmental payments and voluntary social/environmental contributions.</w:t>
      </w:r>
    </w:p>
    <w:p w14:paraId="12E79616" w14:textId="77777777" w:rsidR="00833694" w:rsidRPr="00A3573B" w:rsidRDefault="00833694" w:rsidP="00FD2B68">
      <w:pPr>
        <w:pStyle w:val="ListParagraph"/>
        <w:numPr>
          <w:ilvl w:val="0"/>
          <w:numId w:val="16"/>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Key Gaps Identified</w:t>
      </w:r>
    </w:p>
    <w:p w14:paraId="7190E0AE" w14:textId="77777777" w:rsidR="00E869BB" w:rsidRPr="00A3573B" w:rsidRDefault="00833694"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Only 9 of 11 IOCs reported social expenditures, raising completeness concerns.</w:t>
      </w:r>
    </w:p>
    <w:p w14:paraId="5768BD6C" w14:textId="77777777" w:rsidR="00175261" w:rsidRPr="00A3573B" w:rsidRDefault="00833694"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No disclosure of environmental payments required by law or regulation.</w:t>
      </w:r>
    </w:p>
    <w:p w14:paraId="59757826" w14:textId="36D9AA58" w:rsidR="00833694" w:rsidRPr="00A3573B" w:rsidRDefault="00833694" w:rsidP="00FD2B68">
      <w:pPr>
        <w:numPr>
          <w:ilvl w:val="0"/>
          <w:numId w:val="1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Environmental fines and payments are mixed with voluntary contributions, making tracking difficult.</w:t>
      </w:r>
    </w:p>
    <w:p w14:paraId="3F4A9089" w14:textId="67E6A387" w:rsidR="00C85D35" w:rsidRPr="00A3573B" w:rsidRDefault="00604938" w:rsidP="0045746A">
      <w:pPr>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br w:type="page"/>
      </w:r>
    </w:p>
    <w:p w14:paraId="372C14C3" w14:textId="6FEA8004" w:rsidR="00C85D35" w:rsidRPr="00A3573B" w:rsidRDefault="00DE4FC6" w:rsidP="00C85D35">
      <w:pPr>
        <w:pStyle w:val="Heading1"/>
        <w:shd w:val="clear" w:color="auto" w:fill="61BC4D"/>
        <w:spacing w:before="120" w:after="120" w:line="240" w:lineRule="auto"/>
        <w:ind w:left="567" w:hanging="567"/>
        <w:jc w:val="both"/>
        <w:rPr>
          <w:rFonts w:ascii="Kohinoor Devanagari" w:hAnsi="Kohinoor Devanagari" w:cs="Kohinoor Devanagari"/>
          <w:b/>
          <w:color w:val="FFFFFF" w:themeColor="background1"/>
          <w:kern w:val="0"/>
          <w:sz w:val="22"/>
          <w:szCs w:val="22"/>
          <w14:ligatures w14:val="none"/>
        </w:rPr>
      </w:pPr>
      <w:bookmarkStart w:id="27" w:name="_Toc194240165"/>
      <w:r>
        <w:rPr>
          <w:rFonts w:ascii="Kohinoor Devanagari" w:hAnsi="Kohinoor Devanagari" w:cs="Kohinoor Devanagari"/>
          <w:b/>
          <w:color w:val="FFFFFF" w:themeColor="background1"/>
          <w:kern w:val="0"/>
          <w:sz w:val="22"/>
          <w:szCs w:val="22"/>
          <w14:ligatures w14:val="none"/>
        </w:rPr>
        <w:t>4</w:t>
      </w:r>
      <w:r w:rsidR="00C85D35" w:rsidRPr="00A3573B">
        <w:rPr>
          <w:rFonts w:ascii="Kohinoor Devanagari" w:hAnsi="Kohinoor Devanagari" w:cs="Kohinoor Devanagari"/>
          <w:b/>
          <w:color w:val="FFFFFF" w:themeColor="background1"/>
          <w:kern w:val="0"/>
          <w:sz w:val="22"/>
          <w:szCs w:val="22"/>
          <w14:ligatures w14:val="none"/>
        </w:rPr>
        <w:t xml:space="preserve">. Constraints </w:t>
      </w:r>
      <w:r w:rsidR="003D56D6" w:rsidRPr="00A3573B">
        <w:rPr>
          <w:rFonts w:ascii="Kohinoor Devanagari" w:hAnsi="Kohinoor Devanagari" w:cs="Kohinoor Devanagari"/>
          <w:b/>
          <w:color w:val="FFFFFF" w:themeColor="background1"/>
          <w:kern w:val="0"/>
          <w:sz w:val="22"/>
          <w:szCs w:val="22"/>
          <w14:ligatures w14:val="none"/>
        </w:rPr>
        <w:t xml:space="preserve">and </w:t>
      </w:r>
      <w:r w:rsidR="009208BF" w:rsidRPr="00A3573B">
        <w:rPr>
          <w:rFonts w:ascii="Kohinoor Devanagari" w:hAnsi="Kohinoor Devanagari" w:cs="Kohinoor Devanagari"/>
          <w:b/>
          <w:color w:val="FFFFFF" w:themeColor="background1"/>
          <w:kern w:val="0"/>
          <w:sz w:val="22"/>
          <w:szCs w:val="22"/>
          <w14:ligatures w14:val="none"/>
        </w:rPr>
        <w:t>P</w:t>
      </w:r>
      <w:r w:rsidR="003D56D6" w:rsidRPr="00A3573B">
        <w:rPr>
          <w:rFonts w:ascii="Kohinoor Devanagari" w:hAnsi="Kohinoor Devanagari" w:cs="Kohinoor Devanagari"/>
          <w:b/>
          <w:color w:val="FFFFFF" w:themeColor="background1"/>
          <w:kern w:val="0"/>
          <w:sz w:val="22"/>
          <w:szCs w:val="22"/>
          <w14:ligatures w14:val="none"/>
        </w:rPr>
        <w:t>olicy recommendation</w:t>
      </w:r>
      <w:r w:rsidR="009208BF" w:rsidRPr="00A3573B">
        <w:rPr>
          <w:rFonts w:ascii="Kohinoor Devanagari" w:hAnsi="Kohinoor Devanagari" w:cs="Kohinoor Devanagari"/>
          <w:b/>
          <w:color w:val="FFFFFF" w:themeColor="background1"/>
          <w:kern w:val="0"/>
          <w:sz w:val="22"/>
          <w:szCs w:val="22"/>
          <w14:ligatures w14:val="none"/>
        </w:rPr>
        <w:t>s for systematic disclosure</w:t>
      </w:r>
      <w:bookmarkEnd w:id="27"/>
    </w:p>
    <w:p w14:paraId="724BD2DF" w14:textId="425FED75" w:rsidR="00705F64" w:rsidRPr="00A3573B" w:rsidRDefault="005F43F6" w:rsidP="0097606D">
      <w:pPr>
        <w:rPr>
          <w:rFonts w:ascii="Kohinoor Devanagari" w:hAnsi="Kohinoor Devanagari" w:cs="Kohinoor Devanagari"/>
          <w:sz w:val="22"/>
          <w:szCs w:val="22"/>
        </w:rPr>
      </w:pPr>
      <w:r w:rsidRPr="00A3573B">
        <w:rPr>
          <w:rFonts w:ascii="Kohinoor Devanagari" w:hAnsi="Kohinoor Devanagari" w:cs="Kohinoor Devanagari"/>
          <w:sz w:val="22"/>
          <w:szCs w:val="22"/>
        </w:rPr>
        <w:t>The implementation of a systematic disclosure policy for Iraq’s extractive sector faces several legal, institutional, technical, and governance challenges. To ensure effective transparency and alignment with the EITI Standard, strategic reforms are required.</w:t>
      </w:r>
    </w:p>
    <w:p w14:paraId="766FDB7E" w14:textId="5D72EF30" w:rsidR="008C26E1" w:rsidRPr="00A3573B" w:rsidRDefault="008C26E1" w:rsidP="00DE4FC6">
      <w:pPr>
        <w:pStyle w:val="Heading2"/>
        <w:numPr>
          <w:ilvl w:val="1"/>
          <w:numId w:val="98"/>
        </w:numPr>
        <w:spacing w:before="120" w:after="120" w:line="240" w:lineRule="auto"/>
        <w:jc w:val="both"/>
        <w:rPr>
          <w:rFonts w:ascii="Kohinoor Devanagari" w:hAnsi="Kohinoor Devanagari" w:cs="Kohinoor Devanagari"/>
          <w:b/>
          <w:bCs/>
          <w:sz w:val="22"/>
          <w:szCs w:val="22"/>
        </w:rPr>
      </w:pPr>
      <w:bookmarkStart w:id="28" w:name="_Toc194240166"/>
      <w:r w:rsidRPr="00A3573B">
        <w:rPr>
          <w:rFonts w:ascii="Kohinoor Devanagari" w:hAnsi="Kohinoor Devanagari" w:cs="Kohinoor Devanagari"/>
          <w:b/>
          <w:bCs/>
          <w:sz w:val="22"/>
          <w:szCs w:val="22"/>
        </w:rPr>
        <w:t>Cons</w:t>
      </w:r>
      <w:r w:rsidR="008D7370" w:rsidRPr="00A3573B">
        <w:rPr>
          <w:rFonts w:ascii="Kohinoor Devanagari" w:hAnsi="Kohinoor Devanagari" w:cs="Kohinoor Devanagari"/>
          <w:b/>
          <w:bCs/>
          <w:sz w:val="22"/>
          <w:szCs w:val="22"/>
        </w:rPr>
        <w:t>traint</w:t>
      </w:r>
      <w:r w:rsidR="00454375" w:rsidRPr="00A3573B">
        <w:rPr>
          <w:rFonts w:ascii="Kohinoor Devanagari" w:hAnsi="Kohinoor Devanagari" w:cs="Kohinoor Devanagari"/>
          <w:b/>
          <w:bCs/>
          <w:sz w:val="22"/>
          <w:szCs w:val="22"/>
        </w:rPr>
        <w:t>s and challenges</w:t>
      </w:r>
      <w:bookmarkEnd w:id="28"/>
    </w:p>
    <w:p w14:paraId="7C46B476" w14:textId="3DE1C0CF" w:rsidR="004A233B" w:rsidRPr="00A3573B" w:rsidRDefault="004A233B" w:rsidP="004A233B">
      <w:pPr>
        <w:rPr>
          <w:rFonts w:ascii="Kohinoor Devanagari" w:hAnsi="Kohinoor Devanagari" w:cs="Kohinoor Devanagari"/>
          <w:sz w:val="22"/>
          <w:szCs w:val="22"/>
        </w:rPr>
      </w:pPr>
      <w:r w:rsidRPr="00A3573B">
        <w:rPr>
          <w:rFonts w:ascii="Kohinoor Devanagari" w:hAnsi="Kohinoor Devanagari" w:cs="Kohinoor Devanagari"/>
          <w:sz w:val="22"/>
          <w:szCs w:val="22"/>
        </w:rPr>
        <w:t>The implementation of systematic disclosure in Iraq’s extractive sector faces several legal, institutional, technical, and stakeholder-related challenges. Addressing these constraints is crucial to ensuring comprehensive, real-time, and accessible extractive sector data publication.</w:t>
      </w:r>
    </w:p>
    <w:p w14:paraId="4C25C534" w14:textId="2ACEB399" w:rsidR="004A233B" w:rsidRPr="00A3573B" w:rsidRDefault="00C85D35" w:rsidP="00DB26DE">
      <w:pPr>
        <w:pStyle w:val="Heading3"/>
        <w:numPr>
          <w:ilvl w:val="2"/>
          <w:numId w:val="99"/>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Legal and regulatory barriers</w:t>
      </w:r>
    </w:p>
    <w:p w14:paraId="416B497C" w14:textId="624256F6" w:rsidR="0063634B" w:rsidRPr="0071626C" w:rsidRDefault="0063634B" w:rsidP="00FD2B68">
      <w:pPr>
        <w:pStyle w:val="ListParagraph"/>
        <w:numPr>
          <w:ilvl w:val="0"/>
          <w:numId w:val="39"/>
        </w:numPr>
        <w:spacing w:before="120" w:after="120" w:line="240" w:lineRule="auto"/>
        <w:ind w:left="284" w:hanging="284"/>
        <w:jc w:val="both"/>
        <w:rPr>
          <w:rFonts w:ascii="Kohinoor Devanagari" w:hAnsi="Kohinoor Devanagari" w:cs="Kohinoor Devanagari"/>
          <w:sz w:val="22"/>
          <w:szCs w:val="22"/>
        </w:rPr>
      </w:pPr>
      <w:r w:rsidRPr="0071626C">
        <w:rPr>
          <w:rFonts w:ascii="Kohinoor Devanagari" w:hAnsi="Kohinoor Devanagari" w:cs="Kohinoor Devanagari"/>
          <w:b/>
          <w:bCs/>
          <w:sz w:val="22"/>
          <w:szCs w:val="22"/>
        </w:rPr>
        <w:t>Key Issues:</w:t>
      </w:r>
    </w:p>
    <w:p w14:paraId="4BEF01AC" w14:textId="571639C0" w:rsidR="0063634B" w:rsidRPr="00A3573B" w:rsidRDefault="0063634B" w:rsidP="00FD2B68">
      <w:pPr>
        <w:numPr>
          <w:ilvl w:val="0"/>
          <w:numId w:val="26"/>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b/>
          <w:bCs/>
          <w:sz w:val="22"/>
          <w:szCs w:val="22"/>
        </w:rPr>
        <w:t>Absence of a Clear Legal Framework for Systematic Disclosure</w:t>
      </w:r>
      <w:r w:rsidR="00C361D9" w:rsidRPr="00A3573B">
        <w:rPr>
          <w:rFonts w:ascii="Kohinoor Devanagari" w:hAnsi="Kohinoor Devanagari" w:cs="Kohinoor Devanagari"/>
          <w:sz w:val="22"/>
          <w:szCs w:val="22"/>
        </w:rPr>
        <w:t>: I</w:t>
      </w:r>
      <w:r w:rsidRPr="00A3573B">
        <w:rPr>
          <w:rFonts w:ascii="Kohinoor Devanagari" w:hAnsi="Kohinoor Devanagari" w:cs="Kohinoor Devanagari"/>
          <w:sz w:val="22"/>
          <w:szCs w:val="22"/>
        </w:rPr>
        <w:t>raq lacks a legal mandate requiring real-time publication of extractive data.</w:t>
      </w:r>
    </w:p>
    <w:p w14:paraId="2B200558" w14:textId="0AB26D52" w:rsidR="0063634B" w:rsidRPr="00A3573B" w:rsidRDefault="0063634B" w:rsidP="00FD2B68">
      <w:pPr>
        <w:numPr>
          <w:ilvl w:val="0"/>
          <w:numId w:val="26"/>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b/>
          <w:bCs/>
          <w:sz w:val="22"/>
          <w:szCs w:val="22"/>
        </w:rPr>
        <w:t>Confidentiality Clauses in Contracts</w:t>
      </w:r>
      <w:r w:rsidR="00C361D9" w:rsidRPr="00A3573B">
        <w:rPr>
          <w:rFonts w:ascii="Kohinoor Devanagari" w:hAnsi="Kohinoor Devanagari" w:cs="Kohinoor Devanagari"/>
          <w:sz w:val="22"/>
          <w:szCs w:val="22"/>
        </w:rPr>
        <w:t xml:space="preserve">: </w:t>
      </w:r>
      <w:r w:rsidRPr="00A3573B">
        <w:rPr>
          <w:rFonts w:ascii="Kohinoor Devanagari" w:hAnsi="Kohinoor Devanagari" w:cs="Kohinoor Devanagari"/>
          <w:sz w:val="22"/>
          <w:szCs w:val="22"/>
        </w:rPr>
        <w:t>No clear policy exists for the disclosure of contractual terms, amendments, and fiscal arrangements.</w:t>
      </w:r>
    </w:p>
    <w:p w14:paraId="0679BCFD" w14:textId="7A188BD9" w:rsidR="0063634B" w:rsidRPr="00A3573B" w:rsidRDefault="0063634B" w:rsidP="00FD2B68">
      <w:pPr>
        <w:numPr>
          <w:ilvl w:val="0"/>
          <w:numId w:val="26"/>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b/>
          <w:bCs/>
          <w:sz w:val="22"/>
          <w:szCs w:val="22"/>
        </w:rPr>
        <w:t>Weak Enforcement of Transparency Laws</w:t>
      </w:r>
      <w:r w:rsidR="00C361D9" w:rsidRPr="00A3573B">
        <w:rPr>
          <w:rFonts w:ascii="Kohinoor Devanagari" w:hAnsi="Kohinoor Devanagari" w:cs="Kohinoor Devanagari"/>
          <w:sz w:val="22"/>
          <w:szCs w:val="22"/>
        </w:rPr>
        <w:t>:</w:t>
      </w:r>
      <w:r w:rsidRPr="00A3573B">
        <w:rPr>
          <w:rFonts w:ascii="Kohinoor Devanagari" w:hAnsi="Kohinoor Devanagari" w:cs="Kohinoor Devanagari"/>
          <w:sz w:val="22"/>
          <w:szCs w:val="22"/>
        </w:rPr>
        <w:t xml:space="preserve"> Existing transparency provisions in Public Financial Management Law No. 6 (2019) and sector regulations are not systematically applied.</w:t>
      </w:r>
    </w:p>
    <w:p w14:paraId="0753FC59" w14:textId="11D13731" w:rsidR="0063634B" w:rsidRPr="00196B53" w:rsidRDefault="00196B53" w:rsidP="00196B53">
      <w:pPr>
        <w:numPr>
          <w:ilvl w:val="0"/>
          <w:numId w:val="26"/>
        </w:numPr>
        <w:spacing w:before="120" w:after="120" w:line="240" w:lineRule="auto"/>
        <w:jc w:val="both"/>
        <w:rPr>
          <w:rFonts w:ascii="Kohinoor Devanagari" w:hAnsi="Kohinoor Devanagari" w:cs="Kohinoor Devanagari"/>
          <w:sz w:val="22"/>
          <w:szCs w:val="22"/>
        </w:rPr>
      </w:pPr>
      <w:r w:rsidRPr="00196B53">
        <w:rPr>
          <w:rFonts w:ascii="Kohinoor Devanagari" w:hAnsi="Kohinoor Devanagari" w:cs="Kohinoor Devanagari"/>
          <w:b/>
          <w:bCs/>
          <w:sz w:val="22"/>
          <w:szCs w:val="22"/>
        </w:rPr>
        <w:t xml:space="preserve">Challenges in Beneficial Ownership Disclosure: </w:t>
      </w:r>
      <w:r w:rsidRPr="0071626C">
        <w:rPr>
          <w:rFonts w:ascii="Kohinoor Devanagari" w:hAnsi="Kohinoor Devanagari" w:cs="Kohinoor Devanagari"/>
          <w:sz w:val="22"/>
          <w:szCs w:val="22"/>
        </w:rPr>
        <w:t>While Iraq has established a public register for beneficial ownership of all companies, including extractive ones, the information gathered is not publicly disclosed</w:t>
      </w:r>
      <w:r w:rsidR="0063634B" w:rsidRPr="00196B53">
        <w:rPr>
          <w:rFonts w:ascii="Kohinoor Devanagari" w:hAnsi="Kohinoor Devanagari" w:cs="Kohinoor Devanagari"/>
          <w:sz w:val="22"/>
          <w:szCs w:val="22"/>
        </w:rPr>
        <w:t>.</w:t>
      </w:r>
    </w:p>
    <w:p w14:paraId="472C3461" w14:textId="2225C4E5" w:rsidR="00813507" w:rsidRPr="0071626C" w:rsidRDefault="0063634B" w:rsidP="00FD2B68">
      <w:pPr>
        <w:pStyle w:val="ListParagraph"/>
        <w:numPr>
          <w:ilvl w:val="0"/>
          <w:numId w:val="39"/>
        </w:numPr>
        <w:spacing w:before="120" w:after="120" w:line="240" w:lineRule="auto"/>
        <w:ind w:left="284" w:hanging="284"/>
        <w:jc w:val="both"/>
        <w:rPr>
          <w:rFonts w:ascii="Kohinoor Devanagari" w:hAnsi="Kohinoor Devanagari" w:cs="Kohinoor Devanagari"/>
          <w:b/>
          <w:bCs/>
          <w:sz w:val="22"/>
          <w:szCs w:val="22"/>
        </w:rPr>
      </w:pPr>
      <w:r w:rsidRPr="0071626C">
        <w:rPr>
          <w:rFonts w:ascii="Kohinoor Devanagari" w:hAnsi="Kohinoor Devanagari" w:cs="Kohinoor Devanagari"/>
          <w:b/>
          <w:bCs/>
          <w:sz w:val="22"/>
          <w:szCs w:val="22"/>
        </w:rPr>
        <w:t>Impact:</w:t>
      </w:r>
    </w:p>
    <w:p w14:paraId="2410E1E8" w14:textId="125D1983" w:rsidR="00813507" w:rsidRPr="00A3573B" w:rsidRDefault="0063634B" w:rsidP="00FD2B68">
      <w:pPr>
        <w:numPr>
          <w:ilvl w:val="0"/>
          <w:numId w:val="26"/>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sz w:val="22"/>
          <w:szCs w:val="22"/>
        </w:rPr>
        <w:t>Limited access to financial, contractual, and operational data.</w:t>
      </w:r>
    </w:p>
    <w:p w14:paraId="066FA9CE" w14:textId="0F2AE92A" w:rsidR="00813507" w:rsidRPr="00A3573B" w:rsidRDefault="0063634B" w:rsidP="00FD2B68">
      <w:pPr>
        <w:numPr>
          <w:ilvl w:val="0"/>
          <w:numId w:val="26"/>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sz w:val="22"/>
          <w:szCs w:val="22"/>
        </w:rPr>
        <w:t>Legal ambiguity weakens compliance with EITI requirements.</w:t>
      </w:r>
    </w:p>
    <w:p w14:paraId="3C048BEB" w14:textId="2EE10756" w:rsidR="0063634B" w:rsidRPr="00A3573B" w:rsidRDefault="0063634B" w:rsidP="00FD2B68">
      <w:pPr>
        <w:numPr>
          <w:ilvl w:val="0"/>
          <w:numId w:val="26"/>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sz w:val="22"/>
          <w:szCs w:val="22"/>
        </w:rPr>
        <w:t>Confidentiality concerns restrict proactive disclosure of extractive contracts.</w:t>
      </w:r>
    </w:p>
    <w:p w14:paraId="7CF1AB9E" w14:textId="11D30407" w:rsidR="00C85D35" w:rsidRPr="00A3573B" w:rsidRDefault="00C85D35" w:rsidP="0067470C">
      <w:pPr>
        <w:pStyle w:val="Heading3"/>
        <w:numPr>
          <w:ilvl w:val="2"/>
          <w:numId w:val="99"/>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Institutional and capacity-related constraints</w:t>
      </w:r>
    </w:p>
    <w:p w14:paraId="5D2FB24C" w14:textId="6AF5D17A" w:rsidR="00532F66" w:rsidRPr="0071626C" w:rsidRDefault="00532F66" w:rsidP="00FD2B68">
      <w:pPr>
        <w:pStyle w:val="ListParagraph"/>
        <w:numPr>
          <w:ilvl w:val="0"/>
          <w:numId w:val="39"/>
        </w:numPr>
        <w:spacing w:before="120" w:after="120" w:line="240" w:lineRule="auto"/>
        <w:ind w:left="284" w:hanging="284"/>
        <w:jc w:val="both"/>
        <w:rPr>
          <w:rFonts w:ascii="Kohinoor Devanagari" w:hAnsi="Kohinoor Devanagari" w:cs="Kohinoor Devanagari"/>
          <w:b/>
          <w:bCs/>
          <w:sz w:val="22"/>
          <w:szCs w:val="22"/>
        </w:rPr>
      </w:pPr>
      <w:r w:rsidRPr="0071626C">
        <w:rPr>
          <w:rFonts w:ascii="Kohinoor Devanagari" w:hAnsi="Kohinoor Devanagari" w:cs="Kohinoor Devanagari"/>
          <w:b/>
          <w:bCs/>
          <w:sz w:val="22"/>
          <w:szCs w:val="22"/>
        </w:rPr>
        <w:t>Key Issues:</w:t>
      </w:r>
    </w:p>
    <w:p w14:paraId="09D801E7" w14:textId="6A933D89" w:rsidR="00532F66" w:rsidRPr="00A3573B" w:rsidRDefault="00532F66" w:rsidP="00FD2B68">
      <w:pPr>
        <w:numPr>
          <w:ilvl w:val="0"/>
          <w:numId w:val="27"/>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b/>
          <w:bCs/>
          <w:sz w:val="22"/>
          <w:szCs w:val="22"/>
        </w:rPr>
        <w:t>Fragmentation of Responsibilities</w:t>
      </w:r>
      <w:r w:rsidR="000475C5" w:rsidRPr="00A3573B">
        <w:rPr>
          <w:rFonts w:ascii="Kohinoor Devanagari" w:hAnsi="Kohinoor Devanagari" w:cs="Kohinoor Devanagari"/>
          <w:sz w:val="22"/>
          <w:szCs w:val="22"/>
        </w:rPr>
        <w:t xml:space="preserve">: </w:t>
      </w:r>
      <w:proofErr w:type="spellStart"/>
      <w:r w:rsidRPr="00A3573B">
        <w:rPr>
          <w:rFonts w:ascii="Kohinoor Devanagari" w:hAnsi="Kohinoor Devanagari" w:cs="Kohinoor Devanagari"/>
          <w:sz w:val="22"/>
          <w:szCs w:val="22"/>
        </w:rPr>
        <w:t>MoO</w:t>
      </w:r>
      <w:proofErr w:type="spellEnd"/>
      <w:r w:rsidRPr="00A3573B">
        <w:rPr>
          <w:rFonts w:ascii="Kohinoor Devanagari" w:hAnsi="Kohinoor Devanagari" w:cs="Kohinoor Devanagari"/>
          <w:sz w:val="22"/>
          <w:szCs w:val="22"/>
        </w:rPr>
        <w:t>, MoF, SOMO, and other SOEs operate independently without a unified disclosure framework.</w:t>
      </w:r>
    </w:p>
    <w:p w14:paraId="3ECDAACC" w14:textId="1F00DCF9" w:rsidR="00532F66" w:rsidRPr="00A3573B" w:rsidRDefault="00532F66" w:rsidP="00FD2B68">
      <w:pPr>
        <w:numPr>
          <w:ilvl w:val="0"/>
          <w:numId w:val="27"/>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b/>
          <w:bCs/>
          <w:sz w:val="22"/>
          <w:szCs w:val="22"/>
        </w:rPr>
        <w:t>Weak Inter-Agency Coordination</w:t>
      </w:r>
      <w:r w:rsidR="00C361D9" w:rsidRPr="00A3573B">
        <w:rPr>
          <w:rFonts w:ascii="Kohinoor Devanagari" w:hAnsi="Kohinoor Devanagari" w:cs="Kohinoor Devanagari"/>
          <w:sz w:val="22"/>
          <w:szCs w:val="22"/>
        </w:rPr>
        <w:t xml:space="preserve">: </w:t>
      </w:r>
      <w:r w:rsidRPr="00A3573B">
        <w:rPr>
          <w:rFonts w:ascii="Kohinoor Devanagari" w:hAnsi="Kohinoor Devanagari" w:cs="Kohinoor Devanagari"/>
          <w:sz w:val="22"/>
          <w:szCs w:val="22"/>
        </w:rPr>
        <w:t>No structured mechanism exists for data integration between ministries and regulatory agencies.</w:t>
      </w:r>
    </w:p>
    <w:p w14:paraId="731E3091" w14:textId="0A4E827C" w:rsidR="00532F66" w:rsidRPr="00A3573B" w:rsidRDefault="00532F66" w:rsidP="00FD2B68">
      <w:pPr>
        <w:numPr>
          <w:ilvl w:val="0"/>
          <w:numId w:val="27"/>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b/>
          <w:bCs/>
          <w:sz w:val="22"/>
          <w:szCs w:val="22"/>
        </w:rPr>
        <w:t>Capacity Gaps in Data Management</w:t>
      </w:r>
      <w:r w:rsidR="00C361D9" w:rsidRPr="00A3573B">
        <w:rPr>
          <w:rFonts w:ascii="Kohinoor Devanagari" w:hAnsi="Kohinoor Devanagari" w:cs="Kohinoor Devanagari"/>
          <w:sz w:val="22"/>
          <w:szCs w:val="22"/>
        </w:rPr>
        <w:t xml:space="preserve">: </w:t>
      </w:r>
      <w:r w:rsidRPr="00A3573B">
        <w:rPr>
          <w:rFonts w:ascii="Kohinoor Devanagari" w:hAnsi="Kohinoor Devanagari" w:cs="Kohinoor Devanagari"/>
          <w:sz w:val="22"/>
          <w:szCs w:val="22"/>
        </w:rPr>
        <w:t>Government agencies lack technical expertise and resources to implement automated disclosure systems.</w:t>
      </w:r>
    </w:p>
    <w:p w14:paraId="683A306C" w14:textId="2DAC9E9E" w:rsidR="00532F66" w:rsidRPr="00A3573B" w:rsidRDefault="00532F66" w:rsidP="00FD2B68">
      <w:pPr>
        <w:numPr>
          <w:ilvl w:val="0"/>
          <w:numId w:val="27"/>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b/>
          <w:bCs/>
          <w:sz w:val="22"/>
          <w:szCs w:val="22"/>
        </w:rPr>
        <w:t>Limited Oversight by FBSA</w:t>
      </w:r>
      <w:r w:rsidR="00C361D9" w:rsidRPr="00A3573B">
        <w:rPr>
          <w:rFonts w:ascii="Kohinoor Devanagari" w:hAnsi="Kohinoor Devanagari" w:cs="Kohinoor Devanagari"/>
          <w:sz w:val="22"/>
          <w:szCs w:val="22"/>
        </w:rPr>
        <w:t xml:space="preserve">: </w:t>
      </w:r>
      <w:r w:rsidRPr="00A3573B">
        <w:rPr>
          <w:rFonts w:ascii="Kohinoor Devanagari" w:hAnsi="Kohinoor Devanagari" w:cs="Kohinoor Devanagari"/>
          <w:sz w:val="22"/>
          <w:szCs w:val="22"/>
        </w:rPr>
        <w:t>Delayed audits and financial reviews hinder transparency and accountability.</w:t>
      </w:r>
    </w:p>
    <w:p w14:paraId="6B7A5929" w14:textId="0A06489C" w:rsidR="00C51102" w:rsidRPr="0071626C" w:rsidRDefault="00532F66" w:rsidP="00FD2B68">
      <w:pPr>
        <w:pStyle w:val="ListParagraph"/>
        <w:numPr>
          <w:ilvl w:val="0"/>
          <w:numId w:val="39"/>
        </w:numPr>
        <w:spacing w:before="120" w:after="120" w:line="240" w:lineRule="auto"/>
        <w:ind w:left="284" w:hanging="284"/>
        <w:jc w:val="both"/>
        <w:rPr>
          <w:rFonts w:ascii="Kohinoor Devanagari" w:hAnsi="Kohinoor Devanagari" w:cs="Kohinoor Devanagari"/>
          <w:b/>
          <w:bCs/>
          <w:sz w:val="22"/>
          <w:szCs w:val="22"/>
        </w:rPr>
      </w:pPr>
      <w:r w:rsidRPr="0071626C">
        <w:rPr>
          <w:rFonts w:ascii="Kohinoor Devanagari" w:hAnsi="Kohinoor Devanagari" w:cs="Kohinoor Devanagari"/>
          <w:b/>
          <w:bCs/>
          <w:sz w:val="22"/>
          <w:szCs w:val="22"/>
        </w:rPr>
        <w:t>Impact:</w:t>
      </w:r>
    </w:p>
    <w:p w14:paraId="3BED386E" w14:textId="547BEEF6" w:rsidR="00C51102" w:rsidRPr="00A3573B" w:rsidRDefault="00532F66" w:rsidP="00FD2B68">
      <w:pPr>
        <w:numPr>
          <w:ilvl w:val="0"/>
          <w:numId w:val="26"/>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sz w:val="22"/>
          <w:szCs w:val="22"/>
        </w:rPr>
        <w:t>Inconsistent reporting and duplication of efforts.</w:t>
      </w:r>
    </w:p>
    <w:p w14:paraId="19E46C1E" w14:textId="64C8E6E3" w:rsidR="00C51102" w:rsidRPr="00A3573B" w:rsidRDefault="00532F66" w:rsidP="00FD2B68">
      <w:pPr>
        <w:numPr>
          <w:ilvl w:val="0"/>
          <w:numId w:val="26"/>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sz w:val="22"/>
          <w:szCs w:val="22"/>
        </w:rPr>
        <w:t>Delays in financial reconciliations and revenue tracking.</w:t>
      </w:r>
    </w:p>
    <w:p w14:paraId="1B6081EB" w14:textId="6522028E" w:rsidR="00532F66" w:rsidRPr="00A3573B" w:rsidRDefault="00532F66" w:rsidP="00FD2B68">
      <w:pPr>
        <w:numPr>
          <w:ilvl w:val="0"/>
          <w:numId w:val="26"/>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sz w:val="22"/>
          <w:szCs w:val="22"/>
        </w:rPr>
        <w:t>Gaps in disclosure due to lack of institutional capacity.</w:t>
      </w:r>
    </w:p>
    <w:p w14:paraId="5E51C5EE" w14:textId="443D7185" w:rsidR="00C85D35" w:rsidRPr="00A3573B" w:rsidRDefault="00C85D35" w:rsidP="0067470C">
      <w:pPr>
        <w:pStyle w:val="Heading3"/>
        <w:numPr>
          <w:ilvl w:val="2"/>
          <w:numId w:val="99"/>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Technical challenges in data collection and integration</w:t>
      </w:r>
    </w:p>
    <w:p w14:paraId="1659996A" w14:textId="18900FF8" w:rsidR="00532F66" w:rsidRPr="0071626C" w:rsidRDefault="00532F66" w:rsidP="00FD2B68">
      <w:pPr>
        <w:pStyle w:val="ListParagraph"/>
        <w:numPr>
          <w:ilvl w:val="0"/>
          <w:numId w:val="39"/>
        </w:numPr>
        <w:spacing w:before="120" w:after="120" w:line="240" w:lineRule="auto"/>
        <w:ind w:left="284" w:hanging="284"/>
        <w:jc w:val="both"/>
        <w:rPr>
          <w:rFonts w:ascii="Kohinoor Devanagari" w:hAnsi="Kohinoor Devanagari" w:cs="Kohinoor Devanagari"/>
          <w:b/>
          <w:bCs/>
          <w:sz w:val="22"/>
          <w:szCs w:val="22"/>
        </w:rPr>
      </w:pPr>
      <w:r w:rsidRPr="0071626C">
        <w:rPr>
          <w:rFonts w:ascii="Kohinoor Devanagari" w:hAnsi="Kohinoor Devanagari" w:cs="Kohinoor Devanagari"/>
          <w:b/>
          <w:bCs/>
          <w:sz w:val="22"/>
          <w:szCs w:val="22"/>
        </w:rPr>
        <w:t>Key Issues:</w:t>
      </w:r>
    </w:p>
    <w:p w14:paraId="065F3D6B" w14:textId="01C37561" w:rsidR="00532F66" w:rsidRPr="00A3573B" w:rsidRDefault="00532F66" w:rsidP="00FD2B68">
      <w:pPr>
        <w:numPr>
          <w:ilvl w:val="0"/>
          <w:numId w:val="28"/>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b/>
          <w:bCs/>
          <w:sz w:val="22"/>
          <w:szCs w:val="22"/>
        </w:rPr>
        <w:t>Lack of Digital Integration</w:t>
      </w:r>
      <w:r w:rsidR="00C51102" w:rsidRPr="00A3573B">
        <w:rPr>
          <w:rFonts w:ascii="Kohinoor Devanagari" w:hAnsi="Kohinoor Devanagari" w:cs="Kohinoor Devanagari"/>
          <w:sz w:val="22"/>
          <w:szCs w:val="22"/>
        </w:rPr>
        <w:t>:</w:t>
      </w:r>
      <w:r w:rsidRPr="00A3573B">
        <w:rPr>
          <w:rFonts w:ascii="Kohinoor Devanagari" w:hAnsi="Kohinoor Devanagari" w:cs="Kohinoor Devanagari"/>
          <w:sz w:val="22"/>
          <w:szCs w:val="22"/>
        </w:rPr>
        <w:t xml:space="preserve"> Extractive data is not systematically linked to Iraq’s broader digital governance framework (e.g., National Data Center, Committee 22).</w:t>
      </w:r>
    </w:p>
    <w:p w14:paraId="0EC3F768" w14:textId="4E2C953F" w:rsidR="00532F66" w:rsidRPr="00A3573B" w:rsidRDefault="00532F66" w:rsidP="00FD2B68">
      <w:pPr>
        <w:numPr>
          <w:ilvl w:val="0"/>
          <w:numId w:val="28"/>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b/>
          <w:bCs/>
          <w:sz w:val="22"/>
          <w:szCs w:val="22"/>
        </w:rPr>
        <w:t>Outdated Data Management Systems</w:t>
      </w:r>
      <w:r w:rsidR="00C51102" w:rsidRPr="00A3573B">
        <w:rPr>
          <w:rFonts w:ascii="Kohinoor Devanagari" w:hAnsi="Kohinoor Devanagari" w:cs="Kohinoor Devanagari"/>
          <w:sz w:val="22"/>
          <w:szCs w:val="22"/>
        </w:rPr>
        <w:t xml:space="preserve">: </w:t>
      </w:r>
      <w:proofErr w:type="spellStart"/>
      <w:r w:rsidRPr="00A3573B">
        <w:rPr>
          <w:rFonts w:ascii="Kohinoor Devanagari" w:hAnsi="Kohinoor Devanagari" w:cs="Kohinoor Devanagari"/>
          <w:sz w:val="22"/>
          <w:szCs w:val="22"/>
        </w:rPr>
        <w:t>MoO</w:t>
      </w:r>
      <w:proofErr w:type="spellEnd"/>
      <w:r w:rsidRPr="00A3573B">
        <w:rPr>
          <w:rFonts w:ascii="Kohinoor Devanagari" w:hAnsi="Kohinoor Devanagari" w:cs="Kohinoor Devanagari"/>
          <w:sz w:val="22"/>
          <w:szCs w:val="22"/>
        </w:rPr>
        <w:t xml:space="preserve">, MoF, and </w:t>
      </w:r>
      <w:r w:rsidR="00A135E9" w:rsidRPr="00A3573B">
        <w:rPr>
          <w:rFonts w:ascii="Kohinoor Devanagari" w:hAnsi="Kohinoor Devanagari" w:cs="Kohinoor Devanagari"/>
          <w:sz w:val="22"/>
          <w:szCs w:val="22"/>
        </w:rPr>
        <w:t>SOE</w:t>
      </w:r>
      <w:r w:rsidRPr="00A3573B">
        <w:rPr>
          <w:rFonts w:ascii="Kohinoor Devanagari" w:hAnsi="Kohinoor Devanagari" w:cs="Kohinoor Devanagari"/>
          <w:sz w:val="22"/>
          <w:szCs w:val="22"/>
        </w:rPr>
        <w:t xml:space="preserve"> rely on manual reporting processes, limiting real-time disclosure capabilities.</w:t>
      </w:r>
    </w:p>
    <w:p w14:paraId="0EF719D7" w14:textId="2FB179A9" w:rsidR="00532F66" w:rsidRPr="00A3573B" w:rsidRDefault="00532F66" w:rsidP="00FD2B68">
      <w:pPr>
        <w:numPr>
          <w:ilvl w:val="0"/>
          <w:numId w:val="28"/>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b/>
          <w:bCs/>
          <w:sz w:val="22"/>
          <w:szCs w:val="22"/>
        </w:rPr>
        <w:t>Inconsistent Data Formats and Standards</w:t>
      </w:r>
      <w:r w:rsidR="00A135E9" w:rsidRPr="00A3573B">
        <w:rPr>
          <w:rFonts w:ascii="Kohinoor Devanagari" w:hAnsi="Kohinoor Devanagari" w:cs="Kohinoor Devanagari"/>
          <w:sz w:val="22"/>
          <w:szCs w:val="22"/>
        </w:rPr>
        <w:t>:</w:t>
      </w:r>
      <w:r w:rsidRPr="00A3573B">
        <w:rPr>
          <w:rFonts w:ascii="Kohinoor Devanagari" w:hAnsi="Kohinoor Devanagari" w:cs="Kohinoor Devanagari"/>
          <w:sz w:val="22"/>
          <w:szCs w:val="22"/>
        </w:rPr>
        <w:t xml:space="preserve"> Different institutions use non-standardized reporting formats, complicating data integration.</w:t>
      </w:r>
    </w:p>
    <w:p w14:paraId="38A70467" w14:textId="068D619B" w:rsidR="00532F66" w:rsidRPr="00A3573B" w:rsidRDefault="00532F66" w:rsidP="00FD2B68">
      <w:pPr>
        <w:numPr>
          <w:ilvl w:val="0"/>
          <w:numId w:val="28"/>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b/>
          <w:bCs/>
          <w:sz w:val="22"/>
          <w:szCs w:val="22"/>
        </w:rPr>
        <w:t>Limited Public Access to Data Platforms</w:t>
      </w:r>
      <w:r w:rsidR="00A135E9" w:rsidRPr="00A3573B">
        <w:rPr>
          <w:rFonts w:ascii="Kohinoor Devanagari" w:hAnsi="Kohinoor Devanagari" w:cs="Kohinoor Devanagari"/>
          <w:sz w:val="22"/>
          <w:szCs w:val="22"/>
        </w:rPr>
        <w:t>:</w:t>
      </w:r>
      <w:r w:rsidRPr="00A3573B">
        <w:rPr>
          <w:rFonts w:ascii="Kohinoor Devanagari" w:hAnsi="Kohinoor Devanagari" w:cs="Kohinoor Devanagari"/>
          <w:sz w:val="22"/>
          <w:szCs w:val="22"/>
        </w:rPr>
        <w:t xml:space="preserve"> Iraq lacks a centralized open-data platform for extractive sector disclosures.</w:t>
      </w:r>
    </w:p>
    <w:p w14:paraId="16AC963F" w14:textId="760CBA09" w:rsidR="00A135E9" w:rsidRPr="00A3573B" w:rsidRDefault="00CD5DE3" w:rsidP="00FD2B68">
      <w:pPr>
        <w:pStyle w:val="ListParagraph"/>
        <w:numPr>
          <w:ilvl w:val="0"/>
          <w:numId w:val="39"/>
        </w:numPr>
        <w:spacing w:before="120" w:after="120" w:line="240" w:lineRule="auto"/>
        <w:ind w:left="284" w:hanging="284"/>
        <w:jc w:val="both"/>
        <w:rPr>
          <w:rFonts w:ascii="Kohinoor Devanagari" w:hAnsi="Kohinoor Devanagari" w:cs="Kohinoor Devanagari"/>
          <w:b/>
          <w:bCs/>
          <w:sz w:val="22"/>
          <w:szCs w:val="22"/>
          <w:lang w:val="fr-FR"/>
        </w:rPr>
      </w:pPr>
      <w:r w:rsidRPr="00A3573B">
        <w:rPr>
          <w:rFonts w:ascii="Kohinoor Devanagari" w:hAnsi="Kohinoor Devanagari" w:cs="Kohinoor Devanagari"/>
          <w:b/>
          <w:bCs/>
          <w:sz w:val="22"/>
          <w:szCs w:val="22"/>
        </w:rPr>
        <w:t xml:space="preserve"> </w:t>
      </w:r>
      <w:r w:rsidRPr="00A3573B">
        <w:rPr>
          <w:rFonts w:ascii="Kohinoor Devanagari" w:hAnsi="Kohinoor Devanagari" w:cs="Kohinoor Devanagari"/>
          <w:b/>
          <w:bCs/>
          <w:sz w:val="22"/>
          <w:szCs w:val="22"/>
          <w:lang w:val="fr-FR"/>
        </w:rPr>
        <w:t>Impact:</w:t>
      </w:r>
    </w:p>
    <w:p w14:paraId="0C938D75" w14:textId="77777777" w:rsidR="00A135E9" w:rsidRPr="00A3573B" w:rsidRDefault="00CD5DE3" w:rsidP="00FD2B68">
      <w:pPr>
        <w:numPr>
          <w:ilvl w:val="0"/>
          <w:numId w:val="26"/>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sz w:val="22"/>
          <w:szCs w:val="22"/>
        </w:rPr>
        <w:t>Reduced credibility of disclosed data due to missing stakeholder inputs.</w:t>
      </w:r>
    </w:p>
    <w:p w14:paraId="3CAC7F67" w14:textId="77777777" w:rsidR="00A135E9" w:rsidRPr="00A3573B" w:rsidRDefault="00CD5DE3" w:rsidP="00FD2B68">
      <w:pPr>
        <w:numPr>
          <w:ilvl w:val="0"/>
          <w:numId w:val="26"/>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sz w:val="22"/>
          <w:szCs w:val="22"/>
        </w:rPr>
        <w:t>Gaps in extractive revenue tracking from unreported private sector contributions.</w:t>
      </w:r>
    </w:p>
    <w:p w14:paraId="1D70B959" w14:textId="35F2B112" w:rsidR="00532F66" w:rsidRPr="00A3573B" w:rsidRDefault="00CD5DE3" w:rsidP="00FD2B68">
      <w:pPr>
        <w:numPr>
          <w:ilvl w:val="0"/>
          <w:numId w:val="26"/>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sz w:val="22"/>
          <w:szCs w:val="22"/>
        </w:rPr>
        <w:t>Limited trust in government data due to weak public engagement.</w:t>
      </w:r>
    </w:p>
    <w:p w14:paraId="02232D48" w14:textId="77777777" w:rsidR="00C85D35" w:rsidRPr="00A3573B" w:rsidRDefault="00C85D35" w:rsidP="0067470C">
      <w:pPr>
        <w:pStyle w:val="Heading3"/>
        <w:numPr>
          <w:ilvl w:val="2"/>
          <w:numId w:val="99"/>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Stakeholder engagement issues</w:t>
      </w:r>
    </w:p>
    <w:p w14:paraId="1A0A5FA0" w14:textId="12328E08" w:rsidR="00CB6A40" w:rsidRPr="0071626C" w:rsidRDefault="00CB6A40" w:rsidP="00FD2B68">
      <w:pPr>
        <w:pStyle w:val="ListParagraph"/>
        <w:numPr>
          <w:ilvl w:val="0"/>
          <w:numId w:val="39"/>
        </w:numPr>
        <w:spacing w:before="120" w:after="120" w:line="240" w:lineRule="auto"/>
        <w:ind w:left="284" w:hanging="284"/>
        <w:jc w:val="both"/>
        <w:rPr>
          <w:rFonts w:ascii="Kohinoor Devanagari" w:hAnsi="Kohinoor Devanagari" w:cs="Kohinoor Devanagari"/>
          <w:b/>
          <w:bCs/>
          <w:sz w:val="22"/>
          <w:szCs w:val="22"/>
        </w:rPr>
      </w:pPr>
      <w:r w:rsidRPr="0071626C">
        <w:rPr>
          <w:rFonts w:ascii="Kohinoor Devanagari" w:hAnsi="Kohinoor Devanagari" w:cs="Kohinoor Devanagari"/>
          <w:b/>
          <w:bCs/>
          <w:sz w:val="22"/>
          <w:szCs w:val="22"/>
        </w:rPr>
        <w:t>Key Issues:</w:t>
      </w:r>
    </w:p>
    <w:p w14:paraId="1B0334F3" w14:textId="42489D1C" w:rsidR="00CB6A40" w:rsidRPr="00A3573B" w:rsidRDefault="00CB6A40" w:rsidP="00FD2B68">
      <w:pPr>
        <w:numPr>
          <w:ilvl w:val="0"/>
          <w:numId w:val="29"/>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b/>
          <w:bCs/>
          <w:sz w:val="22"/>
          <w:szCs w:val="22"/>
        </w:rPr>
        <w:t xml:space="preserve">Limited Civil Society </w:t>
      </w:r>
      <w:r w:rsidR="0045209E" w:rsidRPr="00A3573B">
        <w:rPr>
          <w:rFonts w:ascii="Kohinoor Devanagari" w:hAnsi="Kohinoor Devanagari" w:cs="Kohinoor Devanagari"/>
          <w:b/>
          <w:bCs/>
          <w:sz w:val="22"/>
          <w:szCs w:val="22"/>
        </w:rPr>
        <w:t>Involvement</w:t>
      </w:r>
      <w:r w:rsidR="0045209E" w:rsidRPr="00A3573B">
        <w:rPr>
          <w:rFonts w:ascii="Kohinoor Devanagari" w:hAnsi="Kohinoor Devanagari" w:cs="Kohinoor Devanagari"/>
          <w:sz w:val="22"/>
          <w:szCs w:val="22"/>
        </w:rPr>
        <w:t xml:space="preserve">: </w:t>
      </w:r>
      <w:r w:rsidRPr="00A3573B">
        <w:rPr>
          <w:rFonts w:ascii="Kohinoor Devanagari" w:hAnsi="Kohinoor Devanagari" w:cs="Kohinoor Devanagari"/>
          <w:sz w:val="22"/>
          <w:szCs w:val="22"/>
        </w:rPr>
        <w:t xml:space="preserve">Restricted access to </w:t>
      </w:r>
      <w:r w:rsidRPr="00A3573B">
        <w:rPr>
          <w:rFonts w:ascii="Kohinoor Devanagari" w:hAnsi="Kohinoor Devanagari" w:cs="Kohinoor Devanagari"/>
          <w:b/>
          <w:bCs/>
          <w:sz w:val="22"/>
          <w:szCs w:val="22"/>
        </w:rPr>
        <w:t>contract and revenue data limits independent oversight</w:t>
      </w:r>
      <w:r w:rsidRPr="00A3573B">
        <w:rPr>
          <w:rFonts w:ascii="Kohinoor Devanagari" w:hAnsi="Kohinoor Devanagari" w:cs="Kohinoor Devanagari"/>
          <w:sz w:val="22"/>
          <w:szCs w:val="22"/>
        </w:rPr>
        <w:t>.</w:t>
      </w:r>
    </w:p>
    <w:p w14:paraId="65130E1D" w14:textId="7CBAE8F4" w:rsidR="00CB6A40" w:rsidRPr="00A3573B" w:rsidRDefault="00CB6A40" w:rsidP="00FD2B68">
      <w:pPr>
        <w:numPr>
          <w:ilvl w:val="0"/>
          <w:numId w:val="29"/>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b/>
          <w:bCs/>
          <w:sz w:val="22"/>
          <w:szCs w:val="22"/>
        </w:rPr>
        <w:t>Weak Private Sector Engagement</w:t>
      </w:r>
      <w:r w:rsidR="0045209E" w:rsidRPr="00A3573B">
        <w:rPr>
          <w:rFonts w:ascii="Kohinoor Devanagari" w:hAnsi="Kohinoor Devanagari" w:cs="Kohinoor Devanagari"/>
          <w:sz w:val="22"/>
          <w:szCs w:val="22"/>
        </w:rPr>
        <w:t>:</w:t>
      </w:r>
      <w:r w:rsidRPr="00A3573B">
        <w:rPr>
          <w:rFonts w:ascii="Kohinoor Devanagari" w:hAnsi="Kohinoor Devanagari" w:cs="Kohinoor Devanagari"/>
          <w:sz w:val="22"/>
          <w:szCs w:val="22"/>
        </w:rPr>
        <w:t xml:space="preserve"> Many IOCs do not submit financial reporting templates for EITI, reducing data completeness.</w:t>
      </w:r>
    </w:p>
    <w:p w14:paraId="27116573" w14:textId="524DD1D0" w:rsidR="00CB6A40" w:rsidRPr="00A3573B" w:rsidRDefault="00CB6A40" w:rsidP="00FD2B68">
      <w:pPr>
        <w:numPr>
          <w:ilvl w:val="0"/>
          <w:numId w:val="29"/>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b/>
          <w:bCs/>
          <w:sz w:val="22"/>
          <w:szCs w:val="22"/>
        </w:rPr>
        <w:t>KRG Non-Participation in EITI</w:t>
      </w:r>
      <w:r w:rsidR="0045209E" w:rsidRPr="00A3573B">
        <w:rPr>
          <w:rFonts w:ascii="Kohinoor Devanagari" w:hAnsi="Kohinoor Devanagari" w:cs="Kohinoor Devanagari"/>
          <w:sz w:val="22"/>
          <w:szCs w:val="22"/>
        </w:rPr>
        <w:t>:</w:t>
      </w:r>
      <w:r w:rsidRPr="00A3573B">
        <w:rPr>
          <w:rFonts w:ascii="Kohinoor Devanagari" w:hAnsi="Kohinoor Devanagari" w:cs="Kohinoor Devanagari"/>
          <w:sz w:val="22"/>
          <w:szCs w:val="22"/>
        </w:rPr>
        <w:t xml:space="preserve"> The lack of engagement from the Kurdistan Regional Government (KRG) leads to gaps in national extractive sector disclosures.</w:t>
      </w:r>
    </w:p>
    <w:p w14:paraId="27342CB8" w14:textId="1BABEFC5" w:rsidR="0045209E" w:rsidRPr="003459FA" w:rsidRDefault="00532F66" w:rsidP="00FD2B68">
      <w:pPr>
        <w:pStyle w:val="ListParagraph"/>
        <w:numPr>
          <w:ilvl w:val="0"/>
          <w:numId w:val="39"/>
        </w:numPr>
        <w:spacing w:before="120" w:after="120" w:line="240" w:lineRule="auto"/>
        <w:ind w:left="284" w:hanging="284"/>
        <w:jc w:val="both"/>
        <w:rPr>
          <w:rFonts w:ascii="Kohinoor Devanagari" w:hAnsi="Kohinoor Devanagari" w:cs="Kohinoor Devanagari"/>
          <w:b/>
          <w:bCs/>
          <w:sz w:val="22"/>
          <w:szCs w:val="22"/>
        </w:rPr>
      </w:pPr>
      <w:r w:rsidRPr="003459FA">
        <w:rPr>
          <w:rFonts w:ascii="Kohinoor Devanagari" w:hAnsi="Kohinoor Devanagari" w:cs="Kohinoor Devanagari"/>
          <w:b/>
          <w:bCs/>
          <w:sz w:val="22"/>
          <w:szCs w:val="22"/>
        </w:rPr>
        <w:t>Impact:</w:t>
      </w:r>
    </w:p>
    <w:p w14:paraId="0029ECA7" w14:textId="70B3164D" w:rsidR="0045209E" w:rsidRPr="00A3573B" w:rsidRDefault="00532F66" w:rsidP="00FD2B68">
      <w:pPr>
        <w:numPr>
          <w:ilvl w:val="0"/>
          <w:numId w:val="26"/>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sz w:val="22"/>
          <w:szCs w:val="22"/>
        </w:rPr>
        <w:t>Delays in reporting and publication of financial and operational data.</w:t>
      </w:r>
    </w:p>
    <w:p w14:paraId="29D84322" w14:textId="33938C45" w:rsidR="0045209E" w:rsidRPr="00A3573B" w:rsidRDefault="00532F66" w:rsidP="00FD2B68">
      <w:pPr>
        <w:numPr>
          <w:ilvl w:val="0"/>
          <w:numId w:val="26"/>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sz w:val="22"/>
          <w:szCs w:val="22"/>
        </w:rPr>
        <w:t>Technical barriers to real-time, automated disclosure.</w:t>
      </w:r>
    </w:p>
    <w:p w14:paraId="55D88153" w14:textId="448696BD" w:rsidR="00C85D35" w:rsidRPr="00A3573B" w:rsidRDefault="00532F66" w:rsidP="00FD2B68">
      <w:pPr>
        <w:numPr>
          <w:ilvl w:val="0"/>
          <w:numId w:val="26"/>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sz w:val="22"/>
          <w:szCs w:val="22"/>
        </w:rPr>
        <w:t>Lack of interoperability between government databases.</w:t>
      </w:r>
    </w:p>
    <w:p w14:paraId="27377AF3" w14:textId="3ADE8C66" w:rsidR="008A1FA9" w:rsidRPr="00A3573B" w:rsidRDefault="008A1FA9" w:rsidP="0067470C">
      <w:pPr>
        <w:pStyle w:val="Heading2"/>
        <w:numPr>
          <w:ilvl w:val="1"/>
          <w:numId w:val="99"/>
        </w:numPr>
        <w:spacing w:before="120" w:after="120" w:line="240" w:lineRule="auto"/>
        <w:ind w:left="426" w:hanging="426"/>
        <w:jc w:val="both"/>
        <w:rPr>
          <w:rFonts w:ascii="Kohinoor Devanagari" w:hAnsi="Kohinoor Devanagari" w:cs="Kohinoor Devanagari"/>
          <w:b/>
          <w:bCs/>
          <w:sz w:val="22"/>
          <w:szCs w:val="22"/>
        </w:rPr>
      </w:pPr>
      <w:bookmarkStart w:id="29" w:name="_Toc194240167"/>
      <w:r w:rsidRPr="00A3573B">
        <w:rPr>
          <w:rFonts w:ascii="Kohinoor Devanagari" w:hAnsi="Kohinoor Devanagari" w:cs="Kohinoor Devanagari"/>
          <w:b/>
          <w:bCs/>
          <w:sz w:val="22"/>
          <w:szCs w:val="22"/>
        </w:rPr>
        <w:t>Policy Recommendations for Overcoming Challenges</w:t>
      </w:r>
      <w:bookmarkEnd w:id="29"/>
    </w:p>
    <w:p w14:paraId="7D0BE5D2" w14:textId="37D10A6B" w:rsidR="00C16454" w:rsidRPr="00A3573B" w:rsidRDefault="00A618B7" w:rsidP="00FD2B68">
      <w:pPr>
        <w:pStyle w:val="ListParagraph"/>
        <w:numPr>
          <w:ilvl w:val="1"/>
          <w:numId w:val="14"/>
        </w:numPr>
        <w:ind w:left="284" w:hanging="284"/>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S</w:t>
      </w:r>
      <w:r w:rsidR="00C16454" w:rsidRPr="00A3573B">
        <w:rPr>
          <w:rFonts w:ascii="Kohinoor Devanagari" w:hAnsi="Kohinoor Devanagari" w:cs="Kohinoor Devanagari"/>
          <w:b/>
          <w:bCs/>
          <w:sz w:val="22"/>
          <w:szCs w:val="22"/>
          <w:lang w:eastAsia="en-GB"/>
        </w:rPr>
        <w:t>trengthening the Legal Framework for Systematic Disclosure</w:t>
      </w:r>
    </w:p>
    <w:p w14:paraId="0065AC6F" w14:textId="0E76FE2B" w:rsidR="00C16454" w:rsidRPr="00A3573B" w:rsidRDefault="00C16454" w:rsidP="00FD2B68">
      <w:pPr>
        <w:numPr>
          <w:ilvl w:val="0"/>
          <w:numId w:val="29"/>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b/>
          <w:bCs/>
          <w:sz w:val="22"/>
          <w:szCs w:val="22"/>
        </w:rPr>
        <w:t xml:space="preserve">Adopt an Extractive Data Transparency Law: </w:t>
      </w:r>
      <w:r w:rsidRPr="00A3573B">
        <w:rPr>
          <w:rFonts w:ascii="Kohinoor Devanagari" w:hAnsi="Kohinoor Devanagari" w:cs="Kohinoor Devanagari"/>
          <w:sz w:val="22"/>
          <w:szCs w:val="22"/>
        </w:rPr>
        <w:t>Mandate full disclosure of contracts, revenues, payments, and SOE financials.</w:t>
      </w:r>
    </w:p>
    <w:p w14:paraId="3F2DE988" w14:textId="013D4A7F" w:rsidR="00C16454" w:rsidRPr="00A3573B" w:rsidRDefault="00C16454" w:rsidP="00FD2B68">
      <w:pPr>
        <w:numPr>
          <w:ilvl w:val="0"/>
          <w:numId w:val="29"/>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b/>
          <w:bCs/>
          <w:sz w:val="22"/>
          <w:szCs w:val="22"/>
        </w:rPr>
        <w:t xml:space="preserve">Finalize the Right to Information (RTI) Act: </w:t>
      </w:r>
      <w:r w:rsidRPr="00A3573B">
        <w:rPr>
          <w:rFonts w:ascii="Kohinoor Devanagari" w:hAnsi="Kohinoor Devanagari" w:cs="Kohinoor Devanagari"/>
          <w:sz w:val="22"/>
          <w:szCs w:val="22"/>
        </w:rPr>
        <w:t>Ensure it explicitly includes extractive sector data and guarantees proactive disclosure.</w:t>
      </w:r>
    </w:p>
    <w:p w14:paraId="0B0849FF" w14:textId="01985EA9" w:rsidR="00C16454" w:rsidRDefault="00C16454" w:rsidP="00FD2B68">
      <w:pPr>
        <w:numPr>
          <w:ilvl w:val="0"/>
          <w:numId w:val="29"/>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b/>
          <w:bCs/>
          <w:sz w:val="22"/>
          <w:szCs w:val="22"/>
        </w:rPr>
        <w:t xml:space="preserve">Reform SOE Laws (INOC and Public Companies Law): </w:t>
      </w:r>
      <w:r w:rsidRPr="00A3573B">
        <w:rPr>
          <w:rFonts w:ascii="Kohinoor Devanagari" w:hAnsi="Kohinoor Devanagari" w:cs="Kohinoor Devanagari"/>
          <w:sz w:val="22"/>
          <w:szCs w:val="22"/>
        </w:rPr>
        <w:t>Require SOEs to publish financial statements, transactions, and contracts.</w:t>
      </w:r>
    </w:p>
    <w:p w14:paraId="7A5C2866" w14:textId="64185E02" w:rsidR="00247E55" w:rsidRPr="00A3573B" w:rsidRDefault="00247E55" w:rsidP="00247E55">
      <w:pPr>
        <w:numPr>
          <w:ilvl w:val="0"/>
          <w:numId w:val="29"/>
        </w:numPr>
        <w:spacing w:before="120" w:after="120" w:line="240" w:lineRule="auto"/>
        <w:jc w:val="both"/>
        <w:rPr>
          <w:rFonts w:ascii="Kohinoor Devanagari" w:hAnsi="Kohinoor Devanagari" w:cs="Kohinoor Devanagari"/>
          <w:sz w:val="22"/>
          <w:szCs w:val="22"/>
        </w:rPr>
      </w:pPr>
      <w:r w:rsidRPr="00247E55">
        <w:rPr>
          <w:rFonts w:ascii="Kohinoor Devanagari" w:hAnsi="Kohinoor Devanagari" w:cs="Kohinoor Devanagari"/>
          <w:b/>
          <w:bCs/>
          <w:sz w:val="22"/>
          <w:szCs w:val="22"/>
        </w:rPr>
        <w:t>Leverage Existing Coordination Mechanisms:</w:t>
      </w:r>
      <w:r w:rsidRPr="00247E55">
        <w:rPr>
          <w:rFonts w:ascii="Kohinoor Devanagari" w:hAnsi="Kohinoor Devanagari" w:cs="Kohinoor Devanagari"/>
          <w:sz w:val="22"/>
          <w:szCs w:val="22"/>
        </w:rPr>
        <w:t xml:space="preserve"> Utilize the framework outlined in Decree 86/2024 to strengthen inter-agency data sharing.</w:t>
      </w:r>
    </w:p>
    <w:p w14:paraId="566C1E07" w14:textId="30532C1D" w:rsidR="00C16454" w:rsidRPr="00A3573B" w:rsidRDefault="003459FA" w:rsidP="00FD2B68">
      <w:pPr>
        <w:pStyle w:val="ListParagraph"/>
        <w:numPr>
          <w:ilvl w:val="1"/>
          <w:numId w:val="14"/>
        </w:numPr>
        <w:ind w:left="284" w:hanging="284"/>
        <w:rPr>
          <w:rFonts w:ascii="Kohinoor Devanagari" w:hAnsi="Kohinoor Devanagari" w:cs="Kohinoor Devanagari"/>
          <w:b/>
          <w:bCs/>
          <w:sz w:val="22"/>
          <w:szCs w:val="22"/>
          <w:lang w:eastAsia="en-GB"/>
        </w:rPr>
      </w:pPr>
      <w:r>
        <w:rPr>
          <w:rFonts w:ascii="Kohinoor Devanagari" w:hAnsi="Kohinoor Devanagari" w:cs="Kohinoor Devanagari"/>
          <w:b/>
          <w:bCs/>
          <w:sz w:val="22"/>
          <w:szCs w:val="22"/>
          <w:lang w:eastAsia="en-GB"/>
        </w:rPr>
        <w:t xml:space="preserve"> </w:t>
      </w:r>
      <w:r w:rsidR="00C16454" w:rsidRPr="00A3573B">
        <w:rPr>
          <w:rFonts w:ascii="Kohinoor Devanagari" w:hAnsi="Kohinoor Devanagari" w:cs="Kohinoor Devanagari"/>
          <w:b/>
          <w:bCs/>
          <w:sz w:val="22"/>
          <w:szCs w:val="22"/>
          <w:lang w:eastAsia="en-GB"/>
        </w:rPr>
        <w:t>Institutional and Operational Reforms for Effective Disclosure</w:t>
      </w:r>
    </w:p>
    <w:p w14:paraId="79FEE841" w14:textId="77777777" w:rsidR="00F57BF3" w:rsidRDefault="00F57BF3" w:rsidP="00F57BF3">
      <w:pPr>
        <w:numPr>
          <w:ilvl w:val="0"/>
          <w:numId w:val="29"/>
        </w:numPr>
        <w:spacing w:before="120" w:after="120" w:line="240" w:lineRule="auto"/>
        <w:jc w:val="both"/>
        <w:rPr>
          <w:rFonts w:ascii="Kohinoor Devanagari" w:hAnsi="Kohinoor Devanagari" w:cs="Kohinoor Devanagari"/>
          <w:sz w:val="22"/>
          <w:szCs w:val="22"/>
        </w:rPr>
      </w:pPr>
      <w:r w:rsidRPr="006D0142">
        <w:rPr>
          <w:rFonts w:ascii="Kohinoor Devanagari" w:hAnsi="Kohinoor Devanagari" w:cs="Kohinoor Devanagari"/>
          <w:b/>
          <w:bCs/>
          <w:sz w:val="22"/>
          <w:szCs w:val="22"/>
        </w:rPr>
        <w:t>Designate Focal Points within Key Entities:</w:t>
      </w:r>
      <w:r w:rsidRPr="006D0142">
        <w:rPr>
          <w:rFonts w:ascii="Kohinoor Devanagari" w:hAnsi="Kohinoor Devanagari" w:cs="Kohinoor Devanagari"/>
          <w:sz w:val="22"/>
          <w:szCs w:val="22"/>
        </w:rPr>
        <w:t xml:space="preserve"> Facilitate information sharing and streamline reporting through clearly identified contacts within ministries and SOEs.</w:t>
      </w:r>
    </w:p>
    <w:p w14:paraId="026E262D" w14:textId="3FE7E5C3" w:rsidR="005579A7" w:rsidRPr="00A3573B" w:rsidRDefault="00C16454" w:rsidP="00FD2B68">
      <w:pPr>
        <w:numPr>
          <w:ilvl w:val="0"/>
          <w:numId w:val="29"/>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b/>
          <w:bCs/>
          <w:sz w:val="22"/>
          <w:szCs w:val="22"/>
        </w:rPr>
        <w:t>Develop a Centralized Open Data Portal for Extractive Industries</w:t>
      </w:r>
      <w:r w:rsidR="00A618B7" w:rsidRPr="00A3573B">
        <w:rPr>
          <w:rFonts w:ascii="Kohinoor Devanagari" w:hAnsi="Kohinoor Devanagari" w:cs="Kohinoor Devanagari"/>
          <w:b/>
          <w:bCs/>
          <w:sz w:val="22"/>
          <w:szCs w:val="22"/>
        </w:rPr>
        <w:t>: Consolidate</w:t>
      </w:r>
      <w:r w:rsidRPr="00A3573B">
        <w:rPr>
          <w:rFonts w:ascii="Kohinoor Devanagari" w:hAnsi="Kohinoor Devanagari" w:cs="Kohinoor Devanagari"/>
          <w:sz w:val="22"/>
          <w:szCs w:val="22"/>
        </w:rPr>
        <w:t xml:space="preserve"> contractual, financial, and operational data in a single platform.</w:t>
      </w:r>
    </w:p>
    <w:p w14:paraId="7FCDC8AC" w14:textId="1AADCB56" w:rsidR="005579A7" w:rsidRPr="00A3573B" w:rsidRDefault="00C16454" w:rsidP="00FD2B68">
      <w:pPr>
        <w:numPr>
          <w:ilvl w:val="0"/>
          <w:numId w:val="29"/>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b/>
          <w:bCs/>
          <w:sz w:val="22"/>
          <w:szCs w:val="22"/>
        </w:rPr>
        <w:t>Institutionalize Real-Time Data Disclosure</w:t>
      </w:r>
      <w:r w:rsidR="005579A7" w:rsidRPr="00A3573B">
        <w:rPr>
          <w:rFonts w:ascii="Kohinoor Devanagari" w:hAnsi="Kohinoor Devanagari" w:cs="Kohinoor Devanagari"/>
          <w:sz w:val="22"/>
          <w:szCs w:val="22"/>
        </w:rPr>
        <w:t>:</w:t>
      </w:r>
      <w:r w:rsidRPr="00A3573B">
        <w:rPr>
          <w:rFonts w:ascii="Kohinoor Devanagari" w:hAnsi="Kohinoor Devanagari" w:cs="Kohinoor Devanagari"/>
          <w:sz w:val="22"/>
          <w:szCs w:val="22"/>
        </w:rPr>
        <w:t xml:space="preserve"> Implement automated reporting.</w:t>
      </w:r>
    </w:p>
    <w:p w14:paraId="580B7FAC" w14:textId="3E84A734" w:rsidR="00C16454" w:rsidRDefault="00C16454" w:rsidP="00FD2B68">
      <w:pPr>
        <w:numPr>
          <w:ilvl w:val="0"/>
          <w:numId w:val="29"/>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b/>
          <w:bCs/>
          <w:sz w:val="22"/>
          <w:szCs w:val="22"/>
        </w:rPr>
        <w:t>Strengthen Enforcement of Transparency Obligations</w:t>
      </w:r>
      <w:r w:rsidR="00A618B7" w:rsidRPr="00A3573B">
        <w:rPr>
          <w:rFonts w:ascii="Kohinoor Devanagari" w:hAnsi="Kohinoor Devanagari" w:cs="Kohinoor Devanagari"/>
          <w:b/>
          <w:bCs/>
          <w:sz w:val="22"/>
          <w:szCs w:val="22"/>
        </w:rPr>
        <w:t>:</w:t>
      </w:r>
      <w:r w:rsidR="00A618B7" w:rsidRPr="00A3573B">
        <w:rPr>
          <w:rFonts w:ascii="Kohinoor Devanagari" w:hAnsi="Kohinoor Devanagari" w:cs="Kohinoor Devanagari"/>
          <w:sz w:val="22"/>
          <w:szCs w:val="22"/>
        </w:rPr>
        <w:t xml:space="preserve"> Ensure</w:t>
      </w:r>
      <w:r w:rsidRPr="00A3573B">
        <w:rPr>
          <w:rFonts w:ascii="Kohinoor Devanagari" w:hAnsi="Kohinoor Devanagari" w:cs="Kohinoor Devanagari"/>
          <w:sz w:val="22"/>
          <w:szCs w:val="22"/>
        </w:rPr>
        <w:t xml:space="preserve"> </w:t>
      </w:r>
      <w:proofErr w:type="spellStart"/>
      <w:r w:rsidRPr="00A3573B">
        <w:rPr>
          <w:rFonts w:ascii="Kohinoor Devanagari" w:hAnsi="Kohinoor Devanagari" w:cs="Kohinoor Devanagari"/>
          <w:sz w:val="22"/>
          <w:szCs w:val="22"/>
        </w:rPr>
        <w:t>MoO</w:t>
      </w:r>
      <w:proofErr w:type="spellEnd"/>
      <w:r w:rsidRPr="00A3573B">
        <w:rPr>
          <w:rFonts w:ascii="Kohinoor Devanagari" w:hAnsi="Kohinoor Devanagari" w:cs="Kohinoor Devanagari"/>
          <w:sz w:val="22"/>
          <w:szCs w:val="22"/>
        </w:rPr>
        <w:t>, MoF, SOMO, and SOEs comply with disclosure laws under PFM Law No. 6 (2019).</w:t>
      </w:r>
    </w:p>
    <w:p w14:paraId="0582B33D" w14:textId="306461C7" w:rsidR="007053A0" w:rsidRDefault="007053A0" w:rsidP="007053A0">
      <w:pPr>
        <w:numPr>
          <w:ilvl w:val="0"/>
          <w:numId w:val="29"/>
        </w:numPr>
        <w:spacing w:before="120" w:after="120" w:line="240" w:lineRule="auto"/>
        <w:jc w:val="both"/>
        <w:rPr>
          <w:rFonts w:ascii="Kohinoor Devanagari" w:hAnsi="Kohinoor Devanagari" w:cs="Kohinoor Devanagari"/>
          <w:sz w:val="22"/>
          <w:szCs w:val="22"/>
        </w:rPr>
      </w:pPr>
      <w:r w:rsidRPr="007053A0">
        <w:rPr>
          <w:rFonts w:ascii="Kohinoor Devanagari" w:hAnsi="Kohinoor Devanagari" w:cs="Kohinoor Devanagari"/>
          <w:b/>
          <w:bCs/>
          <w:sz w:val="22"/>
          <w:szCs w:val="22"/>
        </w:rPr>
        <w:t>Implement Standard Reporting Templates:</w:t>
      </w:r>
      <w:r w:rsidRPr="007053A0">
        <w:rPr>
          <w:rFonts w:ascii="Kohinoor Devanagari" w:hAnsi="Kohinoor Devanagari" w:cs="Kohinoor Devanagari"/>
          <w:sz w:val="22"/>
          <w:szCs w:val="22"/>
        </w:rPr>
        <w:t xml:space="preserve"> Use simple formats (Excel, CSV) for data consistency and public accessibility.</w:t>
      </w:r>
    </w:p>
    <w:p w14:paraId="041983A7" w14:textId="16A4E40F" w:rsidR="00F7489F" w:rsidRDefault="00F7489F" w:rsidP="00F7489F">
      <w:pPr>
        <w:numPr>
          <w:ilvl w:val="0"/>
          <w:numId w:val="29"/>
        </w:numPr>
        <w:spacing w:before="120" w:after="120" w:line="240" w:lineRule="auto"/>
        <w:jc w:val="both"/>
        <w:rPr>
          <w:rFonts w:ascii="Kohinoor Devanagari" w:hAnsi="Kohinoor Devanagari" w:cs="Kohinoor Devanagari"/>
          <w:sz w:val="22"/>
          <w:szCs w:val="22"/>
        </w:rPr>
      </w:pPr>
      <w:r w:rsidRPr="00F7489F">
        <w:rPr>
          <w:rFonts w:ascii="Kohinoor Devanagari" w:hAnsi="Kohinoor Devanagari" w:cs="Kohinoor Devanagari"/>
          <w:b/>
          <w:bCs/>
          <w:sz w:val="22"/>
          <w:szCs w:val="22"/>
        </w:rPr>
        <w:t>Improve Coordination Among Key Institutions:</w:t>
      </w:r>
      <w:r w:rsidRPr="00F7489F">
        <w:rPr>
          <w:rFonts w:ascii="Kohinoor Devanagari" w:hAnsi="Kohinoor Devanagari" w:cs="Kohinoor Devanagari"/>
          <w:sz w:val="22"/>
          <w:szCs w:val="22"/>
        </w:rPr>
        <w:t xml:space="preserve"> Establish a structured mechanism to enhance collaboration between </w:t>
      </w:r>
      <w:proofErr w:type="spellStart"/>
      <w:r w:rsidRPr="00F7489F">
        <w:rPr>
          <w:rFonts w:ascii="Kohinoor Devanagari" w:hAnsi="Kohinoor Devanagari" w:cs="Kohinoor Devanagari"/>
          <w:sz w:val="22"/>
          <w:szCs w:val="22"/>
        </w:rPr>
        <w:t>MoO</w:t>
      </w:r>
      <w:proofErr w:type="spellEnd"/>
      <w:r w:rsidRPr="00F7489F">
        <w:rPr>
          <w:rFonts w:ascii="Kohinoor Devanagari" w:hAnsi="Kohinoor Devanagari" w:cs="Kohinoor Devanagari"/>
          <w:sz w:val="22"/>
          <w:szCs w:val="22"/>
        </w:rPr>
        <w:t>, MoF, SOMO, and SOEs to avoid data fragmentation and duplication.</w:t>
      </w:r>
    </w:p>
    <w:p w14:paraId="463C1A5D" w14:textId="27843F92" w:rsidR="003D164B" w:rsidRPr="00A3573B" w:rsidRDefault="003D164B" w:rsidP="003D164B">
      <w:pPr>
        <w:numPr>
          <w:ilvl w:val="0"/>
          <w:numId w:val="29"/>
        </w:numPr>
        <w:spacing w:before="120" w:after="120" w:line="240" w:lineRule="auto"/>
        <w:jc w:val="both"/>
        <w:rPr>
          <w:rFonts w:ascii="Kohinoor Devanagari" w:hAnsi="Kohinoor Devanagari" w:cs="Kohinoor Devanagari"/>
          <w:sz w:val="22"/>
          <w:szCs w:val="22"/>
        </w:rPr>
      </w:pPr>
      <w:r w:rsidRPr="003D164B">
        <w:rPr>
          <w:rFonts w:ascii="Kohinoor Devanagari" w:hAnsi="Kohinoor Devanagari" w:cs="Kohinoor Devanagari"/>
          <w:b/>
          <w:bCs/>
          <w:sz w:val="22"/>
          <w:szCs w:val="22"/>
        </w:rPr>
        <w:t>Integrate with National Digital Frameworks:</w:t>
      </w:r>
      <w:r w:rsidRPr="003D164B">
        <w:rPr>
          <w:rFonts w:ascii="Kohinoor Devanagari" w:hAnsi="Kohinoor Devanagari" w:cs="Kohinoor Devanagari"/>
          <w:sz w:val="22"/>
          <w:szCs w:val="22"/>
        </w:rPr>
        <w:t xml:space="preserve"> Link extractive data with national digital systems, including the National Data Center and Committee 22, to promote interoperability and efficient data management.</w:t>
      </w:r>
    </w:p>
    <w:p w14:paraId="5A5E6CCE" w14:textId="77777777" w:rsidR="00A618B7" w:rsidRPr="00A3573B" w:rsidRDefault="00C16454" w:rsidP="00FD2B68">
      <w:pPr>
        <w:pStyle w:val="ListParagraph"/>
        <w:numPr>
          <w:ilvl w:val="1"/>
          <w:numId w:val="14"/>
        </w:numPr>
        <w:ind w:left="426" w:hanging="426"/>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Enhancing Contract and Beneficial Ownership Transparency</w:t>
      </w:r>
    </w:p>
    <w:p w14:paraId="2FDEBD63" w14:textId="2294B209" w:rsidR="00A618B7" w:rsidRPr="00A3573B" w:rsidRDefault="00C16454" w:rsidP="00FD2B68">
      <w:pPr>
        <w:numPr>
          <w:ilvl w:val="0"/>
          <w:numId w:val="29"/>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b/>
          <w:bCs/>
          <w:sz w:val="22"/>
          <w:szCs w:val="22"/>
        </w:rPr>
        <w:t>Mandate Publication of Extractive Contracts and License</w:t>
      </w:r>
      <w:r w:rsidR="00A618B7" w:rsidRPr="00A3573B">
        <w:rPr>
          <w:rFonts w:ascii="Kohinoor Devanagari" w:hAnsi="Kohinoor Devanagari" w:cs="Kohinoor Devanagari"/>
          <w:b/>
          <w:bCs/>
          <w:sz w:val="22"/>
          <w:szCs w:val="22"/>
        </w:rPr>
        <w:t>:</w:t>
      </w:r>
      <w:r w:rsidRPr="00A3573B">
        <w:rPr>
          <w:rFonts w:ascii="Kohinoor Devanagari" w:hAnsi="Kohinoor Devanagari" w:cs="Kohinoor Devanagari"/>
          <w:b/>
          <w:bCs/>
          <w:sz w:val="22"/>
          <w:szCs w:val="22"/>
        </w:rPr>
        <w:t xml:space="preserve"> </w:t>
      </w:r>
      <w:r w:rsidRPr="00A3573B">
        <w:rPr>
          <w:rFonts w:ascii="Kohinoor Devanagari" w:hAnsi="Kohinoor Devanagari" w:cs="Kohinoor Devanagari"/>
          <w:sz w:val="22"/>
          <w:szCs w:val="22"/>
        </w:rPr>
        <w:t>Disclose agreements, annexes, and amendments in line with EITI Requirement 2.4.</w:t>
      </w:r>
      <w:r w:rsidR="00A618B7" w:rsidRPr="00A3573B">
        <w:rPr>
          <w:rFonts w:ascii="Kohinoor Devanagari" w:hAnsi="Kohinoor Devanagari" w:cs="Kohinoor Devanagari"/>
          <w:sz w:val="22"/>
          <w:szCs w:val="22"/>
        </w:rPr>
        <w:t xml:space="preserve"> </w:t>
      </w:r>
    </w:p>
    <w:p w14:paraId="34302701" w14:textId="34C5A571" w:rsidR="00A618B7" w:rsidRPr="003F7829" w:rsidRDefault="003F7829" w:rsidP="003F7829">
      <w:pPr>
        <w:numPr>
          <w:ilvl w:val="0"/>
          <w:numId w:val="29"/>
        </w:numPr>
        <w:spacing w:before="120" w:after="120" w:line="240" w:lineRule="auto"/>
        <w:jc w:val="both"/>
        <w:rPr>
          <w:rFonts w:ascii="Kohinoor Devanagari" w:hAnsi="Kohinoor Devanagari" w:cs="Kohinoor Devanagari"/>
          <w:sz w:val="22"/>
          <w:szCs w:val="22"/>
        </w:rPr>
      </w:pPr>
      <w:r>
        <w:rPr>
          <w:rFonts w:ascii="Kohinoor Devanagari" w:hAnsi="Kohinoor Devanagari" w:cs="Kohinoor Devanagari"/>
          <w:b/>
          <w:bCs/>
          <w:sz w:val="22"/>
          <w:szCs w:val="22"/>
        </w:rPr>
        <w:t>Enhance the</w:t>
      </w:r>
      <w:r w:rsidR="00C16454" w:rsidRPr="00A3573B">
        <w:rPr>
          <w:rFonts w:ascii="Kohinoor Devanagari" w:hAnsi="Kohinoor Devanagari" w:cs="Kohinoor Devanagari"/>
          <w:b/>
          <w:bCs/>
          <w:sz w:val="22"/>
          <w:szCs w:val="22"/>
        </w:rPr>
        <w:t xml:space="preserve"> Beneficial Ownership Register</w:t>
      </w:r>
      <w:r w:rsidR="006D3FBE" w:rsidRPr="001B37D5">
        <w:rPr>
          <w:rFonts w:ascii="Kohinoor Devanagari" w:hAnsi="Kohinoor Devanagari" w:cs="Kohinoor Devanagari"/>
          <w:sz w:val="22"/>
          <w:szCs w:val="22"/>
        </w:rPr>
        <w:t xml:space="preserve">: </w:t>
      </w:r>
      <w:r w:rsidRPr="001B37D5">
        <w:rPr>
          <w:rFonts w:ascii="Kohinoor Devanagari" w:hAnsi="Kohinoor Devanagari" w:cs="Kohinoor Devanagari"/>
          <w:sz w:val="22"/>
          <w:szCs w:val="22"/>
        </w:rPr>
        <w:t>Improve accessibility and ensure public disclosure of the data collected.</w:t>
      </w:r>
      <w:r w:rsidRPr="003F7829" w:rsidDel="003F7829">
        <w:rPr>
          <w:rFonts w:ascii="Kohinoor Devanagari" w:hAnsi="Kohinoor Devanagari" w:cs="Kohinoor Devanagari"/>
          <w:sz w:val="22"/>
          <w:szCs w:val="22"/>
        </w:rPr>
        <w:t xml:space="preserve"> </w:t>
      </w:r>
    </w:p>
    <w:p w14:paraId="12EEA182" w14:textId="2B4EAC4C" w:rsidR="00FF6994" w:rsidRDefault="00FF6994" w:rsidP="00FF6994">
      <w:pPr>
        <w:numPr>
          <w:ilvl w:val="0"/>
          <w:numId w:val="29"/>
        </w:numPr>
        <w:spacing w:before="120" w:after="120" w:line="240" w:lineRule="auto"/>
        <w:jc w:val="both"/>
        <w:rPr>
          <w:rFonts w:ascii="Kohinoor Devanagari" w:hAnsi="Kohinoor Devanagari" w:cs="Kohinoor Devanagari"/>
          <w:sz w:val="22"/>
          <w:szCs w:val="22"/>
        </w:rPr>
      </w:pPr>
      <w:r w:rsidRPr="00FF6994">
        <w:rPr>
          <w:rFonts w:ascii="Kohinoor Devanagari" w:hAnsi="Kohinoor Devanagari" w:cs="Kohinoor Devanagari"/>
          <w:b/>
          <w:bCs/>
          <w:sz w:val="22"/>
          <w:szCs w:val="22"/>
        </w:rPr>
        <w:t>Ensure Data Quality and Interoperability:</w:t>
      </w:r>
      <w:r w:rsidRPr="00FF6994">
        <w:rPr>
          <w:rFonts w:ascii="Kohinoor Devanagari" w:hAnsi="Kohinoor Devanagari" w:cs="Kohinoor Devanagari"/>
          <w:sz w:val="22"/>
          <w:szCs w:val="22"/>
        </w:rPr>
        <w:t xml:space="preserve"> Standardize formats for better integration with the centralized portal.</w:t>
      </w:r>
    </w:p>
    <w:p w14:paraId="52ED2BE8" w14:textId="365521C3" w:rsidR="00A618B7" w:rsidRPr="00A3573B" w:rsidRDefault="00C16454" w:rsidP="00FD2B68">
      <w:pPr>
        <w:pStyle w:val="ListParagraph"/>
        <w:numPr>
          <w:ilvl w:val="1"/>
          <w:numId w:val="14"/>
        </w:numPr>
        <w:ind w:left="426" w:hanging="426"/>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Improving Revenue Transparency and Accountability</w:t>
      </w:r>
    </w:p>
    <w:p w14:paraId="22D41389" w14:textId="024E0677" w:rsidR="00D55301" w:rsidRPr="00A3573B" w:rsidRDefault="00C16454" w:rsidP="00FD2B68">
      <w:pPr>
        <w:numPr>
          <w:ilvl w:val="0"/>
          <w:numId w:val="29"/>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b/>
          <w:bCs/>
          <w:sz w:val="22"/>
          <w:szCs w:val="22"/>
        </w:rPr>
        <w:t>Disaggregate Extractive Revenue Disclosures</w:t>
      </w:r>
      <w:r w:rsidR="007A58CA" w:rsidRPr="00A3573B">
        <w:rPr>
          <w:rFonts w:ascii="Kohinoor Devanagari" w:hAnsi="Kohinoor Devanagari" w:cs="Kohinoor Devanagari"/>
          <w:b/>
          <w:bCs/>
          <w:sz w:val="22"/>
          <w:szCs w:val="22"/>
        </w:rPr>
        <w:t>:</w:t>
      </w:r>
      <w:r w:rsidRPr="00A3573B">
        <w:rPr>
          <w:rFonts w:ascii="Kohinoor Devanagari" w:hAnsi="Kohinoor Devanagari" w:cs="Kohinoor Devanagari"/>
          <w:b/>
          <w:bCs/>
          <w:sz w:val="22"/>
          <w:szCs w:val="22"/>
        </w:rPr>
        <w:t xml:space="preserve"> </w:t>
      </w:r>
      <w:r w:rsidRPr="00A3573B">
        <w:rPr>
          <w:rFonts w:ascii="Kohinoor Devanagari" w:hAnsi="Kohinoor Devanagari" w:cs="Kohinoor Devanagari"/>
          <w:sz w:val="22"/>
          <w:szCs w:val="22"/>
        </w:rPr>
        <w:t>Require breakdowns by company, project, and revenue stream.</w:t>
      </w:r>
    </w:p>
    <w:p w14:paraId="28B0649C" w14:textId="1FEFF305" w:rsidR="00D55301" w:rsidRPr="00A3573B" w:rsidRDefault="00C16454" w:rsidP="00FD2B68">
      <w:pPr>
        <w:numPr>
          <w:ilvl w:val="0"/>
          <w:numId w:val="29"/>
        </w:num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b/>
          <w:bCs/>
          <w:sz w:val="22"/>
          <w:szCs w:val="22"/>
        </w:rPr>
        <w:t>Monitor Subnational Revenue Transfers</w:t>
      </w:r>
      <w:r w:rsidR="006D3FBE" w:rsidRPr="00A3573B">
        <w:rPr>
          <w:rFonts w:ascii="Kohinoor Devanagari" w:hAnsi="Kohinoor Devanagari" w:cs="Kohinoor Devanagari"/>
          <w:b/>
          <w:bCs/>
          <w:sz w:val="22"/>
          <w:szCs w:val="22"/>
        </w:rPr>
        <w:t>: Implement</w:t>
      </w:r>
      <w:r w:rsidRPr="00A3573B">
        <w:rPr>
          <w:rFonts w:ascii="Kohinoor Devanagari" w:hAnsi="Kohinoor Devanagari" w:cs="Kohinoor Devanagari"/>
          <w:sz w:val="22"/>
          <w:szCs w:val="22"/>
        </w:rPr>
        <w:t xml:space="preserve"> a tracking system for oil revenues allocated to Governorates.</w:t>
      </w:r>
    </w:p>
    <w:p w14:paraId="12439D7C" w14:textId="2AFEC9FE" w:rsidR="00C16454" w:rsidRDefault="002E3CE9" w:rsidP="00FD2B68">
      <w:pPr>
        <w:numPr>
          <w:ilvl w:val="0"/>
          <w:numId w:val="29"/>
        </w:numPr>
        <w:spacing w:before="120" w:after="120" w:line="240" w:lineRule="auto"/>
        <w:jc w:val="both"/>
        <w:rPr>
          <w:rFonts w:ascii="Kohinoor Devanagari" w:hAnsi="Kohinoor Devanagari" w:cs="Kohinoor Devanagari"/>
          <w:b/>
          <w:bCs/>
          <w:sz w:val="22"/>
          <w:szCs w:val="22"/>
        </w:rPr>
      </w:pPr>
      <w:r>
        <w:rPr>
          <w:rFonts w:ascii="Kohinoor Devanagari" w:hAnsi="Kohinoor Devanagari" w:cs="Kohinoor Devanagari"/>
          <w:b/>
          <w:bCs/>
          <w:sz w:val="22"/>
          <w:szCs w:val="22"/>
        </w:rPr>
        <w:t>Enhance Reporting</w:t>
      </w:r>
      <w:r w:rsidR="00C16454" w:rsidRPr="00A3573B">
        <w:rPr>
          <w:rFonts w:ascii="Kohinoor Devanagari" w:hAnsi="Kohinoor Devanagari" w:cs="Kohinoor Devanagari"/>
          <w:b/>
          <w:bCs/>
          <w:sz w:val="22"/>
          <w:szCs w:val="22"/>
        </w:rPr>
        <w:t xml:space="preserve"> </w:t>
      </w:r>
      <w:r w:rsidR="00F14302">
        <w:rPr>
          <w:rFonts w:ascii="Kohinoor Devanagari" w:hAnsi="Kohinoor Devanagari" w:cs="Kohinoor Devanagari"/>
          <w:b/>
          <w:bCs/>
          <w:sz w:val="22"/>
          <w:szCs w:val="22"/>
        </w:rPr>
        <w:t>on</w:t>
      </w:r>
      <w:r w:rsidR="00C16454" w:rsidRPr="00A3573B">
        <w:rPr>
          <w:rFonts w:ascii="Kohinoor Devanagari" w:hAnsi="Kohinoor Devanagari" w:cs="Kohinoor Devanagari"/>
          <w:b/>
          <w:bCs/>
          <w:sz w:val="22"/>
          <w:szCs w:val="22"/>
        </w:rPr>
        <w:t xml:space="preserve"> Oil-for-Infrastructure Agreements</w:t>
      </w:r>
      <w:r w:rsidR="006D3FBE" w:rsidRPr="00A3573B">
        <w:rPr>
          <w:rFonts w:ascii="Kohinoor Devanagari" w:hAnsi="Kohinoor Devanagari" w:cs="Kohinoor Devanagari"/>
          <w:sz w:val="22"/>
          <w:szCs w:val="22"/>
        </w:rPr>
        <w:t xml:space="preserve">: </w:t>
      </w:r>
      <w:r w:rsidR="00C16454" w:rsidRPr="00A3573B">
        <w:rPr>
          <w:rFonts w:ascii="Kohinoor Devanagari" w:hAnsi="Kohinoor Devanagari" w:cs="Kohinoor Devanagari"/>
          <w:sz w:val="22"/>
          <w:szCs w:val="22"/>
        </w:rPr>
        <w:t xml:space="preserve"> Enhance reporting on resource-backed loans such as those under the China-Iraq Cooperation Framework</w:t>
      </w:r>
      <w:r w:rsidR="00C16454" w:rsidRPr="00A3573B">
        <w:rPr>
          <w:rFonts w:ascii="Kohinoor Devanagari" w:hAnsi="Kohinoor Devanagari" w:cs="Kohinoor Devanagari"/>
          <w:b/>
          <w:bCs/>
          <w:sz w:val="22"/>
          <w:szCs w:val="22"/>
        </w:rPr>
        <w:t>.</w:t>
      </w:r>
    </w:p>
    <w:p w14:paraId="60CA3230" w14:textId="57753F7C" w:rsidR="00BC5066" w:rsidRPr="00953595" w:rsidRDefault="00BC5066" w:rsidP="00BC5066">
      <w:pPr>
        <w:numPr>
          <w:ilvl w:val="0"/>
          <w:numId w:val="29"/>
        </w:numPr>
        <w:spacing w:before="120" w:after="120" w:line="240" w:lineRule="auto"/>
        <w:jc w:val="both"/>
        <w:rPr>
          <w:rFonts w:ascii="Kohinoor Devanagari" w:hAnsi="Kohinoor Devanagari" w:cs="Kohinoor Devanagari"/>
          <w:b/>
          <w:bCs/>
          <w:sz w:val="22"/>
          <w:szCs w:val="22"/>
        </w:rPr>
      </w:pPr>
      <w:r w:rsidRPr="00BC5066">
        <w:rPr>
          <w:rFonts w:ascii="Kohinoor Devanagari" w:hAnsi="Kohinoor Devanagari" w:cs="Kohinoor Devanagari"/>
          <w:b/>
          <w:bCs/>
          <w:sz w:val="22"/>
          <w:szCs w:val="22"/>
        </w:rPr>
        <w:t xml:space="preserve">Develop Capacity for Data Use: </w:t>
      </w:r>
      <w:r w:rsidRPr="00953595">
        <w:rPr>
          <w:rFonts w:ascii="Kohinoor Devanagari" w:hAnsi="Kohinoor Devanagari" w:cs="Kohinoor Devanagari"/>
          <w:sz w:val="22"/>
          <w:szCs w:val="22"/>
        </w:rPr>
        <w:t>Organize training for public institutions and SOEs to improve data management and public engagement.</w:t>
      </w:r>
    </w:p>
    <w:p w14:paraId="1AB35E5F" w14:textId="115DA0DF" w:rsidR="008B0E11" w:rsidRDefault="008B0E11" w:rsidP="008B0E11">
      <w:pPr>
        <w:numPr>
          <w:ilvl w:val="0"/>
          <w:numId w:val="29"/>
        </w:numPr>
        <w:spacing w:before="120" w:after="120" w:line="240" w:lineRule="auto"/>
        <w:jc w:val="both"/>
        <w:rPr>
          <w:rFonts w:ascii="Kohinoor Devanagari" w:hAnsi="Kohinoor Devanagari" w:cs="Kohinoor Devanagari"/>
          <w:sz w:val="22"/>
          <w:szCs w:val="22"/>
        </w:rPr>
      </w:pPr>
      <w:r w:rsidRPr="008B0E11">
        <w:rPr>
          <w:rFonts w:ascii="Kohinoor Devanagari" w:hAnsi="Kohinoor Devanagari" w:cs="Kohinoor Devanagari"/>
          <w:b/>
          <w:bCs/>
          <w:sz w:val="22"/>
          <w:szCs w:val="22"/>
        </w:rPr>
        <w:t xml:space="preserve">Promote Public Access and Awareness: </w:t>
      </w:r>
      <w:r w:rsidRPr="00953595">
        <w:rPr>
          <w:rFonts w:ascii="Kohinoor Devanagari" w:hAnsi="Kohinoor Devanagari" w:cs="Kohinoor Devanagari"/>
          <w:sz w:val="22"/>
          <w:szCs w:val="22"/>
        </w:rPr>
        <w:t>Strengthen civil society involvement through workshops and platforms to improve data utilization and oversight.</w:t>
      </w:r>
    </w:p>
    <w:p w14:paraId="5005820E" w14:textId="15AD96A0" w:rsidR="00850297" w:rsidRPr="00953595" w:rsidRDefault="00850297" w:rsidP="00953595">
      <w:pPr>
        <w:numPr>
          <w:ilvl w:val="0"/>
          <w:numId w:val="29"/>
        </w:numPr>
        <w:spacing w:before="120" w:after="120" w:line="240" w:lineRule="auto"/>
        <w:jc w:val="both"/>
        <w:rPr>
          <w:rFonts w:ascii="Kohinoor Devanagari" w:hAnsi="Kohinoor Devanagari" w:cs="Kohinoor Devanagari"/>
          <w:sz w:val="22"/>
          <w:szCs w:val="22"/>
        </w:rPr>
      </w:pPr>
      <w:r w:rsidRPr="00953595">
        <w:rPr>
          <w:rFonts w:ascii="Kohinoor Devanagari" w:hAnsi="Kohinoor Devanagari" w:cs="Kohinoor Devanagari"/>
          <w:b/>
          <w:bCs/>
          <w:sz w:val="22"/>
          <w:szCs w:val="22"/>
        </w:rPr>
        <w:t xml:space="preserve">Establish a Feedback Mechanism: </w:t>
      </w:r>
      <w:r w:rsidRPr="00953595">
        <w:rPr>
          <w:rFonts w:ascii="Kohinoor Devanagari" w:hAnsi="Kohinoor Devanagari" w:cs="Kohinoor Devanagari"/>
          <w:sz w:val="22"/>
          <w:szCs w:val="22"/>
        </w:rPr>
        <w:t>Create a public interface (e.g., online form) for stakeholders to suggest improvements or report data gaps.</w:t>
      </w:r>
    </w:p>
    <w:p w14:paraId="18AD624A" w14:textId="77777777" w:rsidR="00C16454" w:rsidRPr="00A3573B" w:rsidRDefault="00C16454">
      <w:pPr>
        <w:rPr>
          <w:rFonts w:ascii="Kohinoor Devanagari" w:hAnsi="Kohinoor Devanagari" w:cs="Kohinoor Devanagari"/>
          <w:b/>
          <w:bCs/>
          <w:sz w:val="22"/>
          <w:szCs w:val="22"/>
          <w:lang w:eastAsia="en-GB"/>
        </w:rPr>
      </w:pPr>
    </w:p>
    <w:p w14:paraId="06BD03FE" w14:textId="0F5DB31F" w:rsidR="008A1FA9" w:rsidRPr="00A3573B" w:rsidRDefault="008A1FA9">
      <w:pPr>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br w:type="page"/>
      </w:r>
    </w:p>
    <w:p w14:paraId="74C40A6F" w14:textId="66B098BA" w:rsidR="00445618" w:rsidRPr="00A3573B" w:rsidRDefault="005D5F46" w:rsidP="00445618">
      <w:pPr>
        <w:pStyle w:val="Heading1"/>
        <w:shd w:val="clear" w:color="auto" w:fill="61BC4D"/>
        <w:spacing w:before="120" w:after="120" w:line="240" w:lineRule="auto"/>
        <w:ind w:left="567" w:hanging="567"/>
        <w:jc w:val="both"/>
        <w:rPr>
          <w:rFonts w:ascii="Kohinoor Devanagari" w:hAnsi="Kohinoor Devanagari" w:cs="Kohinoor Devanagari"/>
          <w:b/>
          <w:color w:val="FFFFFF" w:themeColor="background1"/>
          <w:kern w:val="0"/>
          <w:sz w:val="22"/>
          <w:szCs w:val="22"/>
          <w14:ligatures w14:val="none"/>
        </w:rPr>
      </w:pPr>
      <w:bookmarkStart w:id="30" w:name="_Toc194240168"/>
      <w:r>
        <w:rPr>
          <w:rFonts w:ascii="Kohinoor Devanagari" w:hAnsi="Kohinoor Devanagari" w:cs="Kohinoor Devanagari"/>
          <w:b/>
          <w:color w:val="FFFFFF" w:themeColor="background1"/>
          <w:kern w:val="0"/>
          <w:sz w:val="22"/>
          <w:szCs w:val="22"/>
          <w14:ligatures w14:val="none"/>
        </w:rPr>
        <w:t>5</w:t>
      </w:r>
      <w:r w:rsidR="00445618" w:rsidRPr="00A3573B">
        <w:rPr>
          <w:rFonts w:ascii="Kohinoor Devanagari" w:hAnsi="Kohinoor Devanagari" w:cs="Kohinoor Devanagari"/>
          <w:b/>
          <w:color w:val="FFFFFF" w:themeColor="background1"/>
          <w:kern w:val="0"/>
          <w:sz w:val="22"/>
          <w:szCs w:val="22"/>
          <w14:ligatures w14:val="none"/>
        </w:rPr>
        <w:t xml:space="preserve">. </w:t>
      </w:r>
      <w:r w:rsidR="00501E98" w:rsidRPr="00A3573B">
        <w:rPr>
          <w:rFonts w:ascii="Kohinoor Devanagari" w:hAnsi="Kohinoor Devanagari" w:cs="Kohinoor Devanagari"/>
          <w:b/>
          <w:color w:val="FFFFFF" w:themeColor="background1"/>
          <w:kern w:val="0"/>
          <w:sz w:val="22"/>
          <w:szCs w:val="22"/>
          <w14:ligatures w14:val="none"/>
        </w:rPr>
        <w:t>Draft Policy Note</w:t>
      </w:r>
      <w:bookmarkEnd w:id="30"/>
    </w:p>
    <w:p w14:paraId="70084750" w14:textId="0BD0C8E6" w:rsidR="00501E98" w:rsidRPr="00A3573B" w:rsidRDefault="00501E98" w:rsidP="00912A2A">
      <w:pPr>
        <w:pStyle w:val="Heading2"/>
        <w:numPr>
          <w:ilvl w:val="1"/>
          <w:numId w:val="101"/>
        </w:numPr>
        <w:spacing w:before="120" w:after="120" w:line="240" w:lineRule="auto"/>
        <w:jc w:val="both"/>
        <w:rPr>
          <w:rFonts w:ascii="Kohinoor Devanagari" w:hAnsi="Kohinoor Devanagari" w:cs="Kohinoor Devanagari"/>
          <w:b/>
          <w:bCs/>
          <w:sz w:val="22"/>
          <w:szCs w:val="22"/>
        </w:rPr>
      </w:pPr>
      <w:r w:rsidRPr="00A3573B">
        <w:rPr>
          <w:rFonts w:ascii="Kohinoor Devanagari" w:hAnsi="Kohinoor Devanagari" w:cs="Kohinoor Devanagari"/>
          <w:b/>
          <w:bCs/>
          <w:sz w:val="22"/>
          <w:szCs w:val="22"/>
        </w:rPr>
        <w:t>Introduction</w:t>
      </w:r>
    </w:p>
    <w:p w14:paraId="247D5798" w14:textId="77777777" w:rsidR="00464CCB" w:rsidRDefault="00501E98" w:rsidP="00501E98">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 xml:space="preserve">Transparency in the extractive sector is a cornerstone of good governance and accountability. In Iraq, where both public and private entities are heavily involved in oil and gas operations, systematic disclosure of data is critical. </w:t>
      </w:r>
    </w:p>
    <w:p w14:paraId="07ED411E" w14:textId="30929F73" w:rsidR="00464CCB" w:rsidRDefault="008716B7" w:rsidP="008716B7">
      <w:pPr>
        <w:spacing w:before="120" w:after="120" w:line="240" w:lineRule="auto"/>
        <w:jc w:val="both"/>
        <w:rPr>
          <w:rFonts w:ascii="Kohinoor Devanagari" w:hAnsi="Kohinoor Devanagari" w:cs="Kohinoor Devanagari"/>
          <w:sz w:val="22"/>
          <w:szCs w:val="22"/>
          <w:lang w:eastAsia="en-GB"/>
        </w:rPr>
      </w:pPr>
      <w:r w:rsidRPr="008716B7">
        <w:rPr>
          <w:rFonts w:ascii="Kohinoor Devanagari" w:hAnsi="Kohinoor Devanagari" w:cs="Kohinoor Devanagari"/>
          <w:sz w:val="22"/>
          <w:szCs w:val="22"/>
          <w:lang w:eastAsia="en-GB"/>
        </w:rPr>
        <w:t xml:space="preserve">This </w:t>
      </w:r>
      <w:r w:rsidRPr="008716B7">
        <w:rPr>
          <w:rFonts w:ascii="Kohinoor Devanagari" w:hAnsi="Kohinoor Devanagari" w:cs="Kohinoor Devanagari"/>
          <w:b/>
          <w:bCs/>
          <w:sz w:val="22"/>
          <w:szCs w:val="22"/>
          <w:lang w:eastAsia="en-GB"/>
        </w:rPr>
        <w:t>Policy Note establishes a structured framework</w:t>
      </w:r>
      <w:r w:rsidRPr="008716B7">
        <w:rPr>
          <w:rFonts w:ascii="Kohinoor Devanagari" w:hAnsi="Kohinoor Devanagari" w:cs="Kohinoor Devanagari"/>
          <w:sz w:val="22"/>
          <w:szCs w:val="22"/>
          <w:lang w:eastAsia="en-GB"/>
        </w:rPr>
        <w:t xml:space="preserve"> for data collection and disclosure, fully aligned with the </w:t>
      </w:r>
      <w:r w:rsidRPr="008716B7">
        <w:rPr>
          <w:rFonts w:ascii="Kohinoor Devanagari" w:hAnsi="Kohinoor Devanagari" w:cs="Kohinoor Devanagari"/>
          <w:b/>
          <w:bCs/>
          <w:sz w:val="22"/>
          <w:szCs w:val="22"/>
          <w:lang w:eastAsia="en-GB"/>
        </w:rPr>
        <w:t>EITI Standard</w:t>
      </w:r>
      <w:r w:rsidRPr="008716B7">
        <w:rPr>
          <w:rFonts w:ascii="Kohinoor Devanagari" w:hAnsi="Kohinoor Devanagari" w:cs="Kohinoor Devanagari"/>
          <w:sz w:val="22"/>
          <w:szCs w:val="22"/>
          <w:lang w:eastAsia="en-GB"/>
        </w:rPr>
        <w:t>. It is designed to enhance accessibility, reliability, and the routine publication of extractive sector data.</w:t>
      </w:r>
    </w:p>
    <w:p w14:paraId="08A4BC94" w14:textId="332D97B2" w:rsidR="00501E98" w:rsidRPr="00A3573B" w:rsidRDefault="00A544FB" w:rsidP="00A544FB">
      <w:pPr>
        <w:spacing w:before="120" w:after="120" w:line="240" w:lineRule="auto"/>
        <w:jc w:val="both"/>
        <w:rPr>
          <w:rFonts w:ascii="Kohinoor Devanagari" w:hAnsi="Kohinoor Devanagari" w:cs="Kohinoor Devanagari"/>
          <w:sz w:val="22"/>
          <w:szCs w:val="22"/>
          <w:lang w:eastAsia="en-GB"/>
        </w:rPr>
      </w:pPr>
      <w:r w:rsidRPr="00A544FB">
        <w:rPr>
          <w:rFonts w:ascii="Kohinoor Devanagari" w:hAnsi="Kohinoor Devanagari" w:cs="Kohinoor Devanagari"/>
          <w:sz w:val="22"/>
          <w:szCs w:val="22"/>
          <w:lang w:eastAsia="en-GB"/>
        </w:rPr>
        <w:t xml:space="preserve">Building on </w:t>
      </w:r>
      <w:r w:rsidRPr="00A544FB">
        <w:rPr>
          <w:rFonts w:ascii="Kohinoor Devanagari" w:hAnsi="Kohinoor Devanagari" w:cs="Kohinoor Devanagari"/>
          <w:b/>
          <w:bCs/>
          <w:sz w:val="22"/>
          <w:szCs w:val="22"/>
          <w:lang w:eastAsia="en-GB"/>
        </w:rPr>
        <w:t>Council of Ministers Decree No. 86 (2024)</w:t>
      </w:r>
      <w:r w:rsidRPr="00A544FB">
        <w:rPr>
          <w:rFonts w:ascii="Kohinoor Devanagari" w:hAnsi="Kohinoor Devanagari" w:cs="Kohinoor Devanagari"/>
          <w:sz w:val="22"/>
          <w:szCs w:val="22"/>
          <w:lang w:eastAsia="en-GB"/>
        </w:rPr>
        <w:t xml:space="preserve">, which reaffirms Iraq’s commitment to EITI, the policy mandates </w:t>
      </w:r>
      <w:r w:rsidRPr="00A544FB">
        <w:rPr>
          <w:rFonts w:ascii="Kohinoor Devanagari" w:hAnsi="Kohinoor Devanagari" w:cs="Kohinoor Devanagari"/>
          <w:b/>
          <w:bCs/>
          <w:sz w:val="22"/>
          <w:szCs w:val="22"/>
          <w:lang w:eastAsia="en-GB"/>
        </w:rPr>
        <w:t>government entities and state-owned enterprises (SOEs)</w:t>
      </w:r>
      <w:r w:rsidRPr="00A544FB">
        <w:rPr>
          <w:rFonts w:ascii="Kohinoor Devanagari" w:hAnsi="Kohinoor Devanagari" w:cs="Kohinoor Devanagari"/>
          <w:sz w:val="22"/>
          <w:szCs w:val="22"/>
          <w:lang w:eastAsia="en-GB"/>
        </w:rPr>
        <w:t xml:space="preserve"> to actively support systematic disclosure, ensuring greater transparency and accountability in the sector.</w:t>
      </w:r>
    </w:p>
    <w:p w14:paraId="03F44A4C" w14:textId="577204F1" w:rsidR="00367591" w:rsidRPr="00A3573B" w:rsidRDefault="00367591" w:rsidP="008568EE">
      <w:pPr>
        <w:pStyle w:val="Heading2"/>
        <w:numPr>
          <w:ilvl w:val="1"/>
          <w:numId w:val="101"/>
        </w:numPr>
        <w:spacing w:before="120" w:after="120" w:line="240" w:lineRule="auto"/>
        <w:jc w:val="both"/>
        <w:rPr>
          <w:rFonts w:ascii="Kohinoor Devanagari" w:hAnsi="Kohinoor Devanagari" w:cs="Kohinoor Devanagari"/>
          <w:b/>
          <w:bCs/>
          <w:sz w:val="22"/>
          <w:szCs w:val="22"/>
        </w:rPr>
      </w:pPr>
      <w:bookmarkStart w:id="31" w:name="_Toc194240170"/>
      <w:r w:rsidRPr="00A3573B">
        <w:rPr>
          <w:rFonts w:ascii="Kohinoor Devanagari" w:hAnsi="Kohinoor Devanagari" w:cs="Kohinoor Devanagari"/>
          <w:b/>
          <w:bCs/>
          <w:sz w:val="22"/>
          <w:szCs w:val="22"/>
        </w:rPr>
        <w:t>Purpose and Scope</w:t>
      </w:r>
      <w:bookmarkEnd w:id="31"/>
    </w:p>
    <w:p w14:paraId="4DD2ED2C" w14:textId="63E2375E" w:rsidR="00367591" w:rsidRPr="00A3573B" w:rsidRDefault="00367591" w:rsidP="008568EE">
      <w:pPr>
        <w:pStyle w:val="Heading3"/>
        <w:numPr>
          <w:ilvl w:val="2"/>
          <w:numId w:val="101"/>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Purpose</w:t>
      </w:r>
    </w:p>
    <w:p w14:paraId="21835B77" w14:textId="5544D371" w:rsidR="00F847BD" w:rsidRPr="00F847BD" w:rsidRDefault="00096510" w:rsidP="00096510">
      <w:pPr>
        <w:spacing w:before="120" w:after="120" w:line="240" w:lineRule="auto"/>
        <w:jc w:val="both"/>
        <w:rPr>
          <w:rFonts w:ascii="Kohinoor Devanagari" w:hAnsi="Kohinoor Devanagari" w:cs="Kohinoor Devanagari"/>
          <w:sz w:val="22"/>
          <w:szCs w:val="22"/>
          <w:lang w:eastAsia="en-GB"/>
        </w:rPr>
      </w:pPr>
      <w:r w:rsidRPr="00096510">
        <w:rPr>
          <w:rFonts w:ascii="Kohinoor Devanagari" w:hAnsi="Kohinoor Devanagari" w:cs="Kohinoor Devanagari"/>
          <w:sz w:val="22"/>
          <w:szCs w:val="22"/>
          <w:lang w:eastAsia="en-GB"/>
        </w:rPr>
        <w:t xml:space="preserve">This policy establishes an </w:t>
      </w:r>
      <w:r w:rsidRPr="00BE1C69">
        <w:rPr>
          <w:rFonts w:ascii="Kohinoor Devanagari" w:hAnsi="Kohinoor Devanagari" w:cs="Kohinoor Devanagari"/>
          <w:sz w:val="22"/>
          <w:szCs w:val="22"/>
          <w:lang w:eastAsia="en-GB"/>
        </w:rPr>
        <w:t>operational</w:t>
      </w:r>
      <w:r w:rsidRPr="00096510">
        <w:rPr>
          <w:rFonts w:ascii="Kohinoor Devanagari" w:hAnsi="Kohinoor Devanagari" w:cs="Kohinoor Devanagari"/>
          <w:sz w:val="22"/>
          <w:szCs w:val="22"/>
          <w:lang w:eastAsia="en-GB"/>
        </w:rPr>
        <w:t xml:space="preserve"> framework for data collection and systematic disclosure in Iraq’s extractive sector, ensuring alignment with the EITI Standard and international best practices.</w:t>
      </w:r>
      <w:r w:rsidR="00BA0463" w:rsidRPr="00A3573B">
        <w:rPr>
          <w:rFonts w:ascii="Kohinoor Devanagari" w:hAnsi="Kohinoor Devanagari" w:cs="Kohinoor Devanagari"/>
          <w:sz w:val="22"/>
          <w:szCs w:val="22"/>
          <w:lang w:eastAsia="en-GB"/>
        </w:rPr>
        <w:t xml:space="preserve"> </w:t>
      </w:r>
      <w:r w:rsidR="00F847BD" w:rsidRPr="00F847BD">
        <w:rPr>
          <w:rFonts w:ascii="Kohinoor Devanagari" w:hAnsi="Kohinoor Devanagari" w:cs="Kohinoor Devanagari"/>
          <w:sz w:val="22"/>
          <w:szCs w:val="22"/>
          <w:lang w:eastAsia="en-GB"/>
        </w:rPr>
        <w:t>It aims to:</w:t>
      </w:r>
    </w:p>
    <w:p w14:paraId="6B71362C" w14:textId="112A3CE0" w:rsidR="00286C80" w:rsidRDefault="00286C80" w:rsidP="00286C80">
      <w:pPr>
        <w:numPr>
          <w:ilvl w:val="0"/>
          <w:numId w:val="52"/>
        </w:numPr>
        <w:spacing w:before="120" w:after="120" w:line="240" w:lineRule="auto"/>
        <w:jc w:val="both"/>
        <w:rPr>
          <w:rFonts w:ascii="Kohinoor Devanagari" w:hAnsi="Kohinoor Devanagari" w:cs="Kohinoor Devanagari"/>
          <w:sz w:val="22"/>
          <w:szCs w:val="22"/>
          <w:lang w:eastAsia="en-GB"/>
        </w:rPr>
      </w:pPr>
      <w:r w:rsidRPr="00286C80">
        <w:rPr>
          <w:rFonts w:ascii="Kohinoor Devanagari" w:hAnsi="Kohinoor Devanagari" w:cs="Kohinoor Devanagari"/>
          <w:sz w:val="22"/>
          <w:szCs w:val="22"/>
          <w:lang w:eastAsia="en-GB"/>
        </w:rPr>
        <w:t xml:space="preserve">Ensure the </w:t>
      </w:r>
      <w:r w:rsidRPr="00286C80">
        <w:rPr>
          <w:rFonts w:ascii="Kohinoor Devanagari" w:hAnsi="Kohinoor Devanagari" w:cs="Kohinoor Devanagari"/>
          <w:b/>
          <w:bCs/>
          <w:sz w:val="22"/>
          <w:szCs w:val="22"/>
          <w:lang w:eastAsia="en-GB"/>
        </w:rPr>
        <w:t>automatic and systematic</w:t>
      </w:r>
      <w:r w:rsidRPr="00286C80">
        <w:rPr>
          <w:rFonts w:ascii="Kohinoor Devanagari" w:hAnsi="Kohinoor Devanagari" w:cs="Kohinoor Devanagari"/>
          <w:sz w:val="22"/>
          <w:szCs w:val="22"/>
          <w:lang w:eastAsia="en-GB"/>
        </w:rPr>
        <w:t xml:space="preserve"> publication of extractive sector data in open, machine-readable formats.</w:t>
      </w:r>
    </w:p>
    <w:p w14:paraId="330B3D2A" w14:textId="04834B9B" w:rsidR="00286C80" w:rsidRDefault="00286C80" w:rsidP="00286C80">
      <w:pPr>
        <w:numPr>
          <w:ilvl w:val="0"/>
          <w:numId w:val="52"/>
        </w:numPr>
        <w:spacing w:before="120" w:after="120" w:line="240" w:lineRule="auto"/>
        <w:jc w:val="both"/>
        <w:rPr>
          <w:rFonts w:ascii="Kohinoor Devanagari" w:hAnsi="Kohinoor Devanagari" w:cs="Kohinoor Devanagari"/>
          <w:sz w:val="22"/>
          <w:szCs w:val="22"/>
          <w:lang w:eastAsia="en-GB"/>
        </w:rPr>
      </w:pPr>
      <w:r w:rsidRPr="00286C80">
        <w:rPr>
          <w:rFonts w:ascii="Kohinoor Devanagari" w:hAnsi="Kohinoor Devanagari" w:cs="Kohinoor Devanagari"/>
          <w:sz w:val="22"/>
          <w:szCs w:val="22"/>
          <w:lang w:eastAsia="en-GB"/>
        </w:rPr>
        <w:t xml:space="preserve">Enhance </w:t>
      </w:r>
      <w:r w:rsidRPr="00286C80">
        <w:rPr>
          <w:rFonts w:ascii="Kohinoor Devanagari" w:hAnsi="Kohinoor Devanagari" w:cs="Kohinoor Devanagari"/>
          <w:b/>
          <w:bCs/>
          <w:sz w:val="22"/>
          <w:szCs w:val="22"/>
          <w:lang w:eastAsia="en-GB"/>
        </w:rPr>
        <w:t>transparency, accountability, and public oversight</w:t>
      </w:r>
      <w:r w:rsidRPr="00286C80">
        <w:rPr>
          <w:rFonts w:ascii="Kohinoor Devanagari" w:hAnsi="Kohinoor Devanagari" w:cs="Kohinoor Devanagari"/>
          <w:sz w:val="22"/>
          <w:szCs w:val="22"/>
          <w:lang w:eastAsia="en-GB"/>
        </w:rPr>
        <w:t xml:space="preserve"> through structured and routine disclosures.</w:t>
      </w:r>
    </w:p>
    <w:p w14:paraId="2EBCD748" w14:textId="17C65616" w:rsidR="00286C80" w:rsidRDefault="00286C80" w:rsidP="00286C80">
      <w:pPr>
        <w:numPr>
          <w:ilvl w:val="0"/>
          <w:numId w:val="52"/>
        </w:numPr>
        <w:spacing w:before="120" w:after="120" w:line="240" w:lineRule="auto"/>
        <w:jc w:val="both"/>
        <w:rPr>
          <w:rFonts w:ascii="Kohinoor Devanagari" w:hAnsi="Kohinoor Devanagari" w:cs="Kohinoor Devanagari"/>
          <w:sz w:val="22"/>
          <w:szCs w:val="22"/>
          <w:lang w:eastAsia="en-GB"/>
        </w:rPr>
      </w:pPr>
      <w:r w:rsidRPr="00286C80">
        <w:rPr>
          <w:rFonts w:ascii="Kohinoor Devanagari" w:hAnsi="Kohinoor Devanagari" w:cs="Kohinoor Devanagari"/>
          <w:sz w:val="22"/>
          <w:szCs w:val="22"/>
          <w:lang w:eastAsia="en-GB"/>
        </w:rPr>
        <w:t xml:space="preserve">Strengthen </w:t>
      </w:r>
      <w:r w:rsidRPr="00286C80">
        <w:rPr>
          <w:rFonts w:ascii="Kohinoor Devanagari" w:hAnsi="Kohinoor Devanagari" w:cs="Kohinoor Devanagari"/>
          <w:b/>
          <w:bCs/>
          <w:sz w:val="22"/>
          <w:szCs w:val="22"/>
          <w:lang w:eastAsia="en-GB"/>
        </w:rPr>
        <w:t>anti-corruption efforts</w:t>
      </w:r>
      <w:r w:rsidRPr="00286C80">
        <w:rPr>
          <w:rFonts w:ascii="Kohinoor Devanagari" w:hAnsi="Kohinoor Devanagari" w:cs="Kohinoor Devanagari"/>
          <w:sz w:val="22"/>
          <w:szCs w:val="22"/>
          <w:lang w:eastAsia="en-GB"/>
        </w:rPr>
        <w:t xml:space="preserve"> by mandating the disclosure of financial flows, contracts, and beneficial ownership data.</w:t>
      </w:r>
    </w:p>
    <w:p w14:paraId="45C6143B" w14:textId="119906E7" w:rsidR="00F847BD" w:rsidRPr="00F847BD" w:rsidRDefault="00286C80" w:rsidP="00286C80">
      <w:pPr>
        <w:numPr>
          <w:ilvl w:val="0"/>
          <w:numId w:val="52"/>
        </w:numPr>
        <w:spacing w:before="120" w:after="120" w:line="240" w:lineRule="auto"/>
        <w:jc w:val="both"/>
        <w:rPr>
          <w:rFonts w:ascii="Kohinoor Devanagari" w:hAnsi="Kohinoor Devanagari" w:cs="Kohinoor Devanagari"/>
          <w:sz w:val="22"/>
          <w:szCs w:val="22"/>
          <w:lang w:eastAsia="en-GB"/>
        </w:rPr>
      </w:pPr>
      <w:r w:rsidRPr="00286C80">
        <w:rPr>
          <w:rFonts w:ascii="Kohinoor Devanagari" w:hAnsi="Kohinoor Devanagari" w:cs="Kohinoor Devanagari"/>
          <w:b/>
          <w:bCs/>
          <w:sz w:val="22"/>
          <w:szCs w:val="22"/>
          <w:lang w:eastAsia="en-GB"/>
        </w:rPr>
        <w:t>Leverage existing government commitments</w:t>
      </w:r>
      <w:r w:rsidRPr="00286C80">
        <w:rPr>
          <w:rFonts w:ascii="Kohinoor Devanagari" w:hAnsi="Kohinoor Devanagari" w:cs="Kohinoor Devanagari"/>
          <w:sz w:val="22"/>
          <w:szCs w:val="22"/>
          <w:lang w:eastAsia="en-GB"/>
        </w:rPr>
        <w:t xml:space="preserve"> to institutionalize transparency without requiring new legislative approval.</w:t>
      </w:r>
      <w:r w:rsidR="00F847BD" w:rsidRPr="00F847BD">
        <w:rPr>
          <w:rFonts w:ascii="Kohinoor Devanagari" w:hAnsi="Kohinoor Devanagari" w:cs="Kohinoor Devanagari"/>
          <w:sz w:val="22"/>
          <w:szCs w:val="22"/>
          <w:lang w:eastAsia="en-GB"/>
        </w:rPr>
        <w:t>.</w:t>
      </w:r>
    </w:p>
    <w:p w14:paraId="440C0832" w14:textId="5C4CE4BD" w:rsidR="00367591" w:rsidRPr="00A3573B" w:rsidRDefault="00C73C22" w:rsidP="008568EE">
      <w:pPr>
        <w:pStyle w:val="Heading3"/>
        <w:numPr>
          <w:ilvl w:val="2"/>
          <w:numId w:val="101"/>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Entities covered</w:t>
      </w:r>
    </w:p>
    <w:p w14:paraId="5A9128B3" w14:textId="77777777" w:rsidR="00B75213" w:rsidRPr="00953595" w:rsidRDefault="00B75213" w:rsidP="00B75213">
      <w:pPr>
        <w:spacing w:before="120" w:after="120" w:line="240" w:lineRule="auto"/>
        <w:jc w:val="both"/>
        <w:rPr>
          <w:rFonts w:ascii="Kohinoor Devanagari" w:hAnsi="Kohinoor Devanagari" w:cs="Kohinoor Devanagari"/>
          <w:sz w:val="22"/>
          <w:szCs w:val="22"/>
          <w:lang w:eastAsia="en-GB"/>
        </w:rPr>
      </w:pPr>
      <w:r w:rsidRPr="00953595">
        <w:rPr>
          <w:rFonts w:ascii="Kohinoor Devanagari" w:hAnsi="Kohinoor Devanagari" w:cs="Kohinoor Devanagari"/>
          <w:sz w:val="22"/>
          <w:szCs w:val="22"/>
          <w:lang w:eastAsia="en-GB"/>
        </w:rPr>
        <w:t>This Policy applies to:</w:t>
      </w:r>
    </w:p>
    <w:p w14:paraId="0DD34F18" w14:textId="27FA7C0E" w:rsidR="00B75213" w:rsidRPr="00A3573B" w:rsidRDefault="00B75213" w:rsidP="00FD2B68">
      <w:pPr>
        <w:numPr>
          <w:ilvl w:val="0"/>
          <w:numId w:val="43"/>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Government Entities:</w:t>
      </w:r>
      <w:r w:rsidRPr="00A3573B">
        <w:rPr>
          <w:rFonts w:ascii="Kohinoor Devanagari" w:hAnsi="Kohinoor Devanagari" w:cs="Kohinoor Devanagari"/>
          <w:sz w:val="22"/>
          <w:szCs w:val="22"/>
          <w:lang w:eastAsia="en-GB"/>
        </w:rPr>
        <w:t xml:space="preserve"> All ministries, agencies, and institutions involved in the extractive sector (e.g., Ministry of Oil, Ministry of Finance, Central Bank</w:t>
      </w:r>
      <w:r w:rsidR="002D65BD">
        <w:rPr>
          <w:rFonts w:ascii="Kohinoor Devanagari" w:hAnsi="Kohinoor Devanagari" w:cs="Kohinoor Devanagari"/>
          <w:sz w:val="22"/>
          <w:szCs w:val="22"/>
          <w:lang w:eastAsia="en-GB"/>
        </w:rPr>
        <w:t xml:space="preserve"> of Iraq</w:t>
      </w:r>
      <w:r w:rsidRPr="00A3573B">
        <w:rPr>
          <w:rFonts w:ascii="Kohinoor Devanagari" w:hAnsi="Kohinoor Devanagari" w:cs="Kohinoor Devanagari"/>
          <w:sz w:val="22"/>
          <w:szCs w:val="22"/>
          <w:lang w:eastAsia="en-GB"/>
        </w:rPr>
        <w:t>).</w:t>
      </w:r>
    </w:p>
    <w:p w14:paraId="7E8E0D0D" w14:textId="77777777" w:rsidR="00B75213" w:rsidRPr="00A3573B" w:rsidRDefault="00B75213" w:rsidP="00FD2B68">
      <w:pPr>
        <w:numPr>
          <w:ilvl w:val="0"/>
          <w:numId w:val="43"/>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State-Owned Enterprises (SOEs):</w:t>
      </w:r>
      <w:r w:rsidRPr="00A3573B">
        <w:rPr>
          <w:rFonts w:ascii="Kohinoor Devanagari" w:hAnsi="Kohinoor Devanagari" w:cs="Kohinoor Devanagari"/>
          <w:sz w:val="22"/>
          <w:szCs w:val="22"/>
          <w:lang w:eastAsia="en-GB"/>
        </w:rPr>
        <w:t xml:space="preserve"> All extractive sector SOEs operating in Iraq.</w:t>
      </w:r>
    </w:p>
    <w:p w14:paraId="2A97BAEA" w14:textId="77777777" w:rsidR="00B75213" w:rsidRPr="00A3573B" w:rsidRDefault="00B75213" w:rsidP="00FD2B68">
      <w:pPr>
        <w:numPr>
          <w:ilvl w:val="0"/>
          <w:numId w:val="43"/>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Private Sector Entities:</w:t>
      </w:r>
      <w:r w:rsidRPr="00A3573B">
        <w:rPr>
          <w:rFonts w:ascii="Kohinoor Devanagari" w:hAnsi="Kohinoor Devanagari" w:cs="Kohinoor Devanagari"/>
          <w:sz w:val="22"/>
          <w:szCs w:val="22"/>
          <w:lang w:eastAsia="en-GB"/>
        </w:rPr>
        <w:t xml:space="preserve"> International Oil Companies (IOCs), mining operators, and all companies engaged in extractive activities.</w:t>
      </w:r>
    </w:p>
    <w:p w14:paraId="19EA5AFB" w14:textId="08EA9106" w:rsidR="00B75213" w:rsidRPr="00A3573B" w:rsidRDefault="00B75213" w:rsidP="00094A3F">
      <w:pPr>
        <w:numPr>
          <w:ilvl w:val="0"/>
          <w:numId w:val="43"/>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Regulatory Bodies and Oversight Institutions:</w:t>
      </w:r>
      <w:r w:rsidRPr="00A3573B">
        <w:rPr>
          <w:rFonts w:ascii="Kohinoor Devanagari" w:hAnsi="Kohinoor Devanagari" w:cs="Kohinoor Devanagari"/>
          <w:sz w:val="22"/>
          <w:szCs w:val="22"/>
          <w:lang w:eastAsia="en-GB"/>
        </w:rPr>
        <w:t xml:space="preserve"> Including, but not limited to,</w:t>
      </w:r>
      <w:r w:rsidR="00094A3F">
        <w:rPr>
          <w:rFonts w:ascii="Kohinoor Devanagari" w:hAnsi="Kohinoor Devanagari" w:cs="Kohinoor Devanagari"/>
          <w:sz w:val="22"/>
          <w:szCs w:val="22"/>
          <w:lang w:eastAsia="en-GB"/>
        </w:rPr>
        <w:t xml:space="preserve"> </w:t>
      </w:r>
      <w:r w:rsidR="00094A3F" w:rsidRPr="00094A3F">
        <w:rPr>
          <w:rFonts w:ascii="Kohinoor Devanagari" w:hAnsi="Kohinoor Devanagari" w:cs="Kohinoor Devanagari"/>
          <w:sz w:val="22"/>
          <w:szCs w:val="22"/>
          <w:lang w:eastAsia="en-GB"/>
        </w:rPr>
        <w:t xml:space="preserve">the </w:t>
      </w:r>
      <w:r w:rsidR="00094A3F" w:rsidRPr="00094A3F">
        <w:rPr>
          <w:rFonts w:ascii="Kohinoor Devanagari" w:hAnsi="Kohinoor Devanagari" w:cs="Kohinoor Devanagari"/>
          <w:b/>
          <w:bCs/>
          <w:sz w:val="22"/>
          <w:szCs w:val="22"/>
          <w:lang w:eastAsia="en-GB"/>
        </w:rPr>
        <w:t>Council of Ministers Secretariat (COMSEC)</w:t>
      </w:r>
      <w:r w:rsidR="00094A3F">
        <w:rPr>
          <w:rFonts w:ascii="Kohinoor Devanagari" w:hAnsi="Kohinoor Devanagari" w:cs="Kohinoor Devanagari"/>
          <w:b/>
          <w:bCs/>
          <w:sz w:val="22"/>
          <w:szCs w:val="22"/>
          <w:lang w:eastAsia="en-GB"/>
        </w:rPr>
        <w:t>,</w:t>
      </w:r>
      <w:r w:rsidRPr="00A3573B">
        <w:rPr>
          <w:rFonts w:ascii="Kohinoor Devanagari" w:hAnsi="Kohinoor Devanagari" w:cs="Kohinoor Devanagari"/>
          <w:sz w:val="22"/>
          <w:szCs w:val="22"/>
          <w:lang w:eastAsia="en-GB"/>
        </w:rPr>
        <w:t xml:space="preserve"> the EITI Iraq MSG and any designated audit or compliance bodies.</w:t>
      </w:r>
    </w:p>
    <w:p w14:paraId="4CC85A7D" w14:textId="1BB5E63D" w:rsidR="00CC6839" w:rsidRPr="00A3573B" w:rsidRDefault="006D5395" w:rsidP="008568EE">
      <w:pPr>
        <w:pStyle w:val="Heading3"/>
        <w:numPr>
          <w:ilvl w:val="2"/>
          <w:numId w:val="101"/>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Scope of Disclosure</w:t>
      </w:r>
    </w:p>
    <w:p w14:paraId="4DB31424" w14:textId="65C52F9A" w:rsidR="006D5395" w:rsidRPr="00A3573B" w:rsidRDefault="006D5395" w:rsidP="006D5395">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 xml:space="preserve">This policy defines the </w:t>
      </w:r>
      <w:r w:rsidRPr="00A3573B">
        <w:rPr>
          <w:rFonts w:ascii="Kohinoor Devanagari" w:hAnsi="Kohinoor Devanagari" w:cs="Kohinoor Devanagari"/>
          <w:b/>
          <w:bCs/>
          <w:sz w:val="22"/>
          <w:szCs w:val="22"/>
          <w:lang w:eastAsia="en-GB"/>
        </w:rPr>
        <w:t>types and categories of data to be systematically disclosed</w:t>
      </w:r>
      <w:r w:rsidRPr="00A3573B">
        <w:rPr>
          <w:rFonts w:ascii="Kohinoor Devanagari" w:hAnsi="Kohinoor Devanagari" w:cs="Kohinoor Devanagari"/>
          <w:sz w:val="22"/>
          <w:szCs w:val="22"/>
          <w:lang w:eastAsia="en-GB"/>
        </w:rPr>
        <w:t>, including:</w:t>
      </w:r>
    </w:p>
    <w:p w14:paraId="085AF5BF" w14:textId="77777777" w:rsidR="00CC6839" w:rsidRPr="00CC6839" w:rsidRDefault="00CC6839" w:rsidP="00FD2B68">
      <w:pPr>
        <w:numPr>
          <w:ilvl w:val="0"/>
          <w:numId w:val="53"/>
        </w:numPr>
        <w:spacing w:before="120" w:after="120" w:line="240" w:lineRule="auto"/>
        <w:jc w:val="both"/>
        <w:rPr>
          <w:rFonts w:ascii="Kohinoor Devanagari" w:hAnsi="Kohinoor Devanagari" w:cs="Kohinoor Devanagari"/>
          <w:sz w:val="22"/>
          <w:szCs w:val="22"/>
          <w:lang w:eastAsia="en-GB"/>
        </w:rPr>
      </w:pPr>
      <w:r w:rsidRPr="00CC6839">
        <w:rPr>
          <w:rFonts w:ascii="Kohinoor Devanagari" w:hAnsi="Kohinoor Devanagari" w:cs="Kohinoor Devanagari"/>
          <w:b/>
          <w:bCs/>
          <w:sz w:val="22"/>
          <w:szCs w:val="22"/>
          <w:lang w:eastAsia="en-GB"/>
        </w:rPr>
        <w:t>Fiscal, contractual, and operational data</w:t>
      </w:r>
      <w:r w:rsidRPr="00CC6839">
        <w:rPr>
          <w:rFonts w:ascii="Kohinoor Devanagari" w:hAnsi="Kohinoor Devanagari" w:cs="Kohinoor Devanagari"/>
          <w:sz w:val="22"/>
          <w:szCs w:val="22"/>
          <w:lang w:eastAsia="en-GB"/>
        </w:rPr>
        <w:t>, covering financial flows related to the extractive sector.</w:t>
      </w:r>
    </w:p>
    <w:p w14:paraId="2492640D" w14:textId="77777777" w:rsidR="00CC6839" w:rsidRPr="00CC6839" w:rsidRDefault="00CC6839" w:rsidP="00FD2B68">
      <w:pPr>
        <w:numPr>
          <w:ilvl w:val="0"/>
          <w:numId w:val="53"/>
        </w:numPr>
        <w:spacing w:before="120" w:after="120" w:line="240" w:lineRule="auto"/>
        <w:jc w:val="both"/>
        <w:rPr>
          <w:rFonts w:ascii="Kohinoor Devanagari" w:hAnsi="Kohinoor Devanagari" w:cs="Kohinoor Devanagari"/>
          <w:sz w:val="22"/>
          <w:szCs w:val="22"/>
          <w:lang w:eastAsia="en-GB"/>
        </w:rPr>
      </w:pPr>
      <w:r w:rsidRPr="00CC6839">
        <w:rPr>
          <w:rFonts w:ascii="Kohinoor Devanagari" w:hAnsi="Kohinoor Devanagari" w:cs="Kohinoor Devanagari"/>
          <w:b/>
          <w:bCs/>
          <w:sz w:val="22"/>
          <w:szCs w:val="22"/>
          <w:lang w:eastAsia="en-GB"/>
        </w:rPr>
        <w:t>Exploration, production, and export data</w:t>
      </w:r>
      <w:r w:rsidRPr="00CC6839">
        <w:rPr>
          <w:rFonts w:ascii="Kohinoor Devanagari" w:hAnsi="Kohinoor Devanagari" w:cs="Kohinoor Devanagari"/>
          <w:sz w:val="22"/>
          <w:szCs w:val="22"/>
          <w:lang w:eastAsia="en-GB"/>
        </w:rPr>
        <w:t>, including disaggregation by company, project, and location.</w:t>
      </w:r>
    </w:p>
    <w:p w14:paraId="1F14FB06" w14:textId="77777777" w:rsidR="00CC6839" w:rsidRPr="00CC6839" w:rsidRDefault="00CC6839" w:rsidP="00FD2B68">
      <w:pPr>
        <w:numPr>
          <w:ilvl w:val="0"/>
          <w:numId w:val="53"/>
        </w:numPr>
        <w:spacing w:before="120" w:after="120" w:line="240" w:lineRule="auto"/>
        <w:jc w:val="both"/>
        <w:rPr>
          <w:rFonts w:ascii="Kohinoor Devanagari" w:hAnsi="Kohinoor Devanagari" w:cs="Kohinoor Devanagari"/>
          <w:sz w:val="22"/>
          <w:szCs w:val="22"/>
          <w:lang w:eastAsia="en-GB"/>
        </w:rPr>
      </w:pPr>
      <w:r w:rsidRPr="00CC6839">
        <w:rPr>
          <w:rFonts w:ascii="Kohinoor Devanagari" w:hAnsi="Kohinoor Devanagari" w:cs="Kohinoor Devanagari"/>
          <w:b/>
          <w:bCs/>
          <w:sz w:val="22"/>
          <w:szCs w:val="22"/>
          <w:lang w:eastAsia="en-GB"/>
        </w:rPr>
        <w:t>Corporate governance and beneficial ownership information</w:t>
      </w:r>
      <w:r w:rsidRPr="00CC6839">
        <w:rPr>
          <w:rFonts w:ascii="Kohinoor Devanagari" w:hAnsi="Kohinoor Devanagari" w:cs="Kohinoor Devanagari"/>
          <w:sz w:val="22"/>
          <w:szCs w:val="22"/>
          <w:lang w:eastAsia="en-GB"/>
        </w:rPr>
        <w:t xml:space="preserve"> to enhance transparency in company structures.</w:t>
      </w:r>
    </w:p>
    <w:p w14:paraId="02EEE6C8" w14:textId="77777777" w:rsidR="00CC6839" w:rsidRPr="00A3573B" w:rsidRDefault="00CC6839" w:rsidP="00FD2B68">
      <w:pPr>
        <w:numPr>
          <w:ilvl w:val="0"/>
          <w:numId w:val="53"/>
        </w:numPr>
        <w:spacing w:before="120" w:after="120" w:line="240" w:lineRule="auto"/>
        <w:jc w:val="both"/>
        <w:rPr>
          <w:rFonts w:ascii="Kohinoor Devanagari" w:hAnsi="Kohinoor Devanagari" w:cs="Kohinoor Devanagari"/>
          <w:sz w:val="22"/>
          <w:szCs w:val="22"/>
          <w:lang w:eastAsia="en-GB"/>
        </w:rPr>
      </w:pPr>
      <w:r w:rsidRPr="00CC6839">
        <w:rPr>
          <w:rFonts w:ascii="Kohinoor Devanagari" w:hAnsi="Kohinoor Devanagari" w:cs="Kohinoor Devanagari"/>
          <w:b/>
          <w:bCs/>
          <w:sz w:val="22"/>
          <w:szCs w:val="22"/>
          <w:lang w:eastAsia="en-GB"/>
        </w:rPr>
        <w:t>Environmental, social, and governance (ESG) data</w:t>
      </w:r>
      <w:r w:rsidRPr="00CC6839">
        <w:rPr>
          <w:rFonts w:ascii="Kohinoor Devanagari" w:hAnsi="Kohinoor Devanagari" w:cs="Kohinoor Devanagari"/>
          <w:sz w:val="22"/>
          <w:szCs w:val="22"/>
          <w:lang w:eastAsia="en-GB"/>
        </w:rPr>
        <w:t>, including social expenditures and impact assessments.</w:t>
      </w:r>
    </w:p>
    <w:p w14:paraId="1E184832" w14:textId="0B487910" w:rsidR="00C0465B" w:rsidRPr="00CC6839" w:rsidRDefault="00C0465B" w:rsidP="00FD2B68">
      <w:pPr>
        <w:numPr>
          <w:ilvl w:val="0"/>
          <w:numId w:val="53"/>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Contextual data</w:t>
      </w:r>
      <w:r w:rsidRPr="00A3573B">
        <w:rPr>
          <w:rFonts w:ascii="Kohinoor Devanagari" w:hAnsi="Kohinoor Devanagari" w:cs="Kohinoor Devanagari"/>
          <w:sz w:val="22"/>
          <w:szCs w:val="22"/>
          <w:lang w:eastAsia="en-GB"/>
        </w:rPr>
        <w:t xml:space="preserve"> necessary to understand the extractive sector’s economic contribution, in line with EITI requirements.</w:t>
      </w:r>
    </w:p>
    <w:p w14:paraId="245EB291" w14:textId="080E4510" w:rsidR="003728B2" w:rsidRPr="00A3573B" w:rsidRDefault="003728B2" w:rsidP="008568EE">
      <w:pPr>
        <w:pStyle w:val="Heading2"/>
        <w:numPr>
          <w:ilvl w:val="1"/>
          <w:numId w:val="101"/>
        </w:numPr>
        <w:spacing w:before="120" w:after="120" w:line="240" w:lineRule="auto"/>
        <w:ind w:left="426" w:hanging="426"/>
        <w:jc w:val="both"/>
        <w:rPr>
          <w:rFonts w:ascii="Kohinoor Devanagari" w:hAnsi="Kohinoor Devanagari" w:cs="Kohinoor Devanagari"/>
          <w:b/>
          <w:bCs/>
          <w:sz w:val="22"/>
          <w:szCs w:val="22"/>
        </w:rPr>
      </w:pPr>
      <w:bookmarkStart w:id="32" w:name="_Toc194240171"/>
      <w:r w:rsidRPr="00A3573B">
        <w:rPr>
          <w:rFonts w:ascii="Kohinoor Devanagari" w:hAnsi="Kohinoor Devanagari" w:cs="Kohinoor Devanagari"/>
          <w:b/>
          <w:bCs/>
          <w:sz w:val="22"/>
          <w:szCs w:val="22"/>
        </w:rPr>
        <w:t>Key Definitions</w:t>
      </w:r>
      <w:bookmarkEnd w:id="32"/>
    </w:p>
    <w:p w14:paraId="5FF535E5" w14:textId="4DBD96AE" w:rsidR="003728B2" w:rsidRPr="00A3573B" w:rsidRDefault="003728B2" w:rsidP="008568EE">
      <w:pPr>
        <w:pStyle w:val="Heading3"/>
        <w:numPr>
          <w:ilvl w:val="2"/>
          <w:numId w:val="101"/>
        </w:numPr>
        <w:spacing w:before="120" w:after="120" w:line="240" w:lineRule="auto"/>
        <w:jc w:val="both"/>
        <w:rPr>
          <w:rFonts w:ascii="Kohinoor Devanagari" w:hAnsi="Kohinoor Devanagari" w:cs="Kohinoor Devanagari"/>
          <w:b/>
          <w:bCs/>
          <w:sz w:val="22"/>
          <w:szCs w:val="22"/>
          <w:lang w:eastAsia="en-GB"/>
        </w:rPr>
      </w:pPr>
      <w:r w:rsidRPr="1F8DF0C2">
        <w:rPr>
          <w:rFonts w:ascii="Kohinoor Devanagari" w:hAnsi="Kohinoor Devanagari" w:cs="Kohinoor Devanagari"/>
          <w:b/>
          <w:bCs/>
          <w:sz w:val="22"/>
          <w:szCs w:val="22"/>
          <w:lang w:eastAsia="en-GB"/>
        </w:rPr>
        <w:t>Open Data</w:t>
      </w:r>
    </w:p>
    <w:p w14:paraId="5D218E7F" w14:textId="0FA1E019" w:rsidR="003728B2" w:rsidRPr="00A3573B" w:rsidRDefault="003728B2" w:rsidP="003728B2">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 xml:space="preserve">For the purposes of this policy, “open data” </w:t>
      </w:r>
      <w:r w:rsidR="00FC1596">
        <w:rPr>
          <w:rFonts w:ascii="Kohinoor Devanagari" w:hAnsi="Kohinoor Devanagari" w:cs="Kohinoor Devanagari"/>
          <w:sz w:val="22"/>
          <w:szCs w:val="22"/>
          <w:lang w:eastAsia="en-GB"/>
        </w:rPr>
        <w:t>refers</w:t>
      </w:r>
      <w:r w:rsidRPr="00A3573B">
        <w:rPr>
          <w:rFonts w:ascii="Kohinoor Devanagari" w:hAnsi="Kohinoor Devanagari" w:cs="Kohinoor Devanagari"/>
          <w:sz w:val="22"/>
          <w:szCs w:val="22"/>
          <w:lang w:eastAsia="en-GB"/>
        </w:rPr>
        <w:t xml:space="preserve"> </w:t>
      </w:r>
      <w:r w:rsidR="00FC1596">
        <w:rPr>
          <w:rFonts w:ascii="Kohinoor Devanagari" w:hAnsi="Kohinoor Devanagari" w:cs="Kohinoor Devanagari"/>
          <w:sz w:val="22"/>
          <w:szCs w:val="22"/>
          <w:lang w:eastAsia="en-GB"/>
        </w:rPr>
        <w:t xml:space="preserve">to </w:t>
      </w:r>
      <w:r w:rsidRPr="00A3573B">
        <w:rPr>
          <w:rFonts w:ascii="Kohinoor Devanagari" w:hAnsi="Kohinoor Devanagari" w:cs="Kohinoor Devanagari"/>
          <w:sz w:val="22"/>
          <w:szCs w:val="22"/>
          <w:lang w:eastAsia="en-GB"/>
        </w:rPr>
        <w:t>data and content that:</w:t>
      </w:r>
    </w:p>
    <w:p w14:paraId="6B648516" w14:textId="239B46AB" w:rsidR="003728B2" w:rsidRPr="00A3573B" w:rsidRDefault="003728B2" w:rsidP="00FD2B68">
      <w:pPr>
        <w:numPr>
          <w:ilvl w:val="0"/>
          <w:numId w:val="41"/>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Are freely accessible, reusable, and modifiable by anyone for any purpose;</w:t>
      </w:r>
    </w:p>
    <w:p w14:paraId="0A528CDD" w14:textId="77777777" w:rsidR="003728B2" w:rsidRPr="00A3573B" w:rsidRDefault="003728B2" w:rsidP="00FD2B68">
      <w:pPr>
        <w:numPr>
          <w:ilvl w:val="0"/>
          <w:numId w:val="41"/>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Are provided under open licenses that permit unrestricted reuse, modification, and redistribution; and</w:t>
      </w:r>
    </w:p>
    <w:p w14:paraId="1BF2B51B" w14:textId="2CC69B84" w:rsidR="003728B2" w:rsidRDefault="003728B2" w:rsidP="00FD2B68">
      <w:pPr>
        <w:numPr>
          <w:ilvl w:val="0"/>
          <w:numId w:val="41"/>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Are published in standardized, machine</w:t>
      </w:r>
      <w:r w:rsidRPr="00A3573B">
        <w:rPr>
          <w:rFonts w:ascii="Kohinoor Devanagari" w:hAnsi="Kohinoor Devanagari" w:cs="Kohinoor Devanagari"/>
          <w:sz w:val="22"/>
          <w:szCs w:val="22"/>
          <w:lang w:eastAsia="en-GB"/>
        </w:rPr>
        <w:noBreakHyphen/>
        <w:t>readable formats (e.g., CSV, Excel, XML).</w:t>
      </w:r>
    </w:p>
    <w:p w14:paraId="52218CEE" w14:textId="51A9BEBF" w:rsidR="00FC1596" w:rsidRPr="00A3573B" w:rsidRDefault="00FC1596" w:rsidP="00C52386">
      <w:pPr>
        <w:spacing w:before="120" w:after="120" w:line="240" w:lineRule="auto"/>
        <w:jc w:val="both"/>
        <w:rPr>
          <w:rFonts w:ascii="Kohinoor Devanagari" w:hAnsi="Kohinoor Devanagari" w:cs="Kohinoor Devanagari"/>
          <w:sz w:val="22"/>
          <w:szCs w:val="22"/>
          <w:lang w:eastAsia="en-GB"/>
        </w:rPr>
      </w:pPr>
      <w:r w:rsidRPr="00FC1596">
        <w:rPr>
          <w:rFonts w:ascii="Kohinoor Devanagari" w:hAnsi="Kohinoor Devanagari" w:cs="Kohinoor Devanagari"/>
          <w:sz w:val="22"/>
          <w:szCs w:val="22"/>
          <w:lang w:eastAsia="en-GB"/>
        </w:rPr>
        <w:t xml:space="preserve">This definition is aligned with international good practices, including the </w:t>
      </w:r>
      <w:hyperlink r:id="rId21" w:tgtFrame="_new" w:history="1">
        <w:r w:rsidRPr="00FC1596">
          <w:rPr>
            <w:rStyle w:val="Hyperlink"/>
            <w:rFonts w:ascii="Kohinoor Devanagari" w:hAnsi="Kohinoor Devanagari" w:cs="Kohinoor Devanagari"/>
            <w:sz w:val="22"/>
            <w:szCs w:val="22"/>
            <w:lang w:eastAsia="en-GB"/>
          </w:rPr>
          <w:t>Open Data Charter principles</w:t>
        </w:r>
      </w:hyperlink>
      <w:r w:rsidRPr="00FC1596">
        <w:rPr>
          <w:rFonts w:ascii="Kohinoor Devanagari" w:hAnsi="Kohinoor Devanagari" w:cs="Kohinoor Devanagari"/>
          <w:sz w:val="22"/>
          <w:szCs w:val="22"/>
          <w:lang w:eastAsia="en-GB"/>
        </w:rPr>
        <w:t>, which emphasize accessibility, interoperability, and reusability of public data to maximize its impact on transparency, accountability, and innovation.</w:t>
      </w:r>
    </w:p>
    <w:p w14:paraId="491A96D6" w14:textId="48056879" w:rsidR="003728B2" w:rsidRPr="00A3573B" w:rsidRDefault="003728B2" w:rsidP="008568EE">
      <w:pPr>
        <w:pStyle w:val="Heading3"/>
        <w:numPr>
          <w:ilvl w:val="2"/>
          <w:numId w:val="101"/>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Systematic Disclosure</w:t>
      </w:r>
    </w:p>
    <w:p w14:paraId="1C197B44" w14:textId="0E79B625" w:rsidR="003728B2" w:rsidRPr="00A3573B" w:rsidRDefault="003728B2" w:rsidP="00D773B6">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“Systematic disclosure” refers to the routine, proactive, and electronic publication of extractive sector data directly from the primary reporting systems of entities.</w:t>
      </w:r>
      <w:r w:rsidR="00D773B6">
        <w:rPr>
          <w:rFonts w:ascii="Kohinoor Devanagari" w:hAnsi="Kohinoor Devanagari" w:cs="Kohinoor Devanagari"/>
          <w:sz w:val="22"/>
          <w:szCs w:val="22"/>
          <w:lang w:eastAsia="en-GB"/>
        </w:rPr>
        <w:t xml:space="preserve"> </w:t>
      </w:r>
      <w:r w:rsidR="00D773B6" w:rsidRPr="00D773B6">
        <w:rPr>
          <w:rFonts w:ascii="Kohinoor Devanagari" w:hAnsi="Kohinoor Devanagari" w:cs="Kohinoor Devanagari"/>
          <w:sz w:val="22"/>
          <w:szCs w:val="22"/>
          <w:lang w:eastAsia="en-GB"/>
        </w:rPr>
        <w:t>This disclosure must adhere to the provisions of Decree 86 (2024) and the EITI Standard.</w:t>
      </w:r>
    </w:p>
    <w:p w14:paraId="50707F0B" w14:textId="10A1FC01" w:rsidR="00CB3919" w:rsidRPr="00A3573B" w:rsidRDefault="00CB3919" w:rsidP="008568EE">
      <w:pPr>
        <w:pStyle w:val="Heading2"/>
        <w:numPr>
          <w:ilvl w:val="1"/>
          <w:numId w:val="101"/>
        </w:numPr>
        <w:spacing w:before="120" w:after="120" w:line="240" w:lineRule="auto"/>
        <w:ind w:left="426" w:hanging="426"/>
        <w:jc w:val="both"/>
        <w:rPr>
          <w:rFonts w:ascii="Kohinoor Devanagari" w:hAnsi="Kohinoor Devanagari" w:cs="Kohinoor Devanagari"/>
          <w:b/>
          <w:bCs/>
          <w:sz w:val="22"/>
          <w:szCs w:val="22"/>
        </w:rPr>
      </w:pPr>
      <w:bookmarkStart w:id="33" w:name="_Toc194240172"/>
      <w:r w:rsidRPr="00A3573B">
        <w:rPr>
          <w:rFonts w:ascii="Kohinoor Devanagari" w:hAnsi="Kohinoor Devanagari" w:cs="Kohinoor Devanagari"/>
          <w:b/>
          <w:bCs/>
          <w:sz w:val="22"/>
          <w:szCs w:val="22"/>
        </w:rPr>
        <w:t>Legal Basis and Integration</w:t>
      </w:r>
      <w:bookmarkEnd w:id="33"/>
    </w:p>
    <w:p w14:paraId="06C6AD41" w14:textId="59E04070" w:rsidR="00CB3919" w:rsidRPr="00A3573B" w:rsidRDefault="00CB3919" w:rsidP="008568EE">
      <w:pPr>
        <w:pStyle w:val="Heading3"/>
        <w:numPr>
          <w:ilvl w:val="2"/>
          <w:numId w:val="101"/>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Legal Framework</w:t>
      </w:r>
    </w:p>
    <w:p w14:paraId="76AF0ED9" w14:textId="00D5135D" w:rsidR="00357140" w:rsidRPr="00BE1C69" w:rsidRDefault="00D144B8" w:rsidP="00D144B8">
      <w:pPr>
        <w:spacing w:before="120" w:after="120" w:line="240" w:lineRule="auto"/>
        <w:jc w:val="both"/>
        <w:rPr>
          <w:rFonts w:ascii="Kohinoor Devanagari" w:hAnsi="Kohinoor Devanagari" w:cs="Kohinoor Devanagari"/>
          <w:sz w:val="22"/>
          <w:szCs w:val="22"/>
          <w:lang w:eastAsia="en-GB"/>
        </w:rPr>
      </w:pPr>
      <w:r w:rsidRPr="00D144B8">
        <w:rPr>
          <w:rFonts w:ascii="Kohinoor Devanagari" w:hAnsi="Kohinoor Devanagari" w:cs="Kohinoor Devanagari"/>
          <w:sz w:val="22"/>
          <w:szCs w:val="22"/>
          <w:lang w:eastAsia="en-GB"/>
        </w:rPr>
        <w:t xml:space="preserve">This policy is grounded in </w:t>
      </w:r>
      <w:r w:rsidRPr="00D144B8">
        <w:rPr>
          <w:rFonts w:ascii="Kohinoor Devanagari" w:hAnsi="Kohinoor Devanagari" w:cs="Kohinoor Devanagari"/>
          <w:b/>
          <w:bCs/>
          <w:sz w:val="22"/>
          <w:szCs w:val="22"/>
          <w:lang w:eastAsia="en-GB"/>
        </w:rPr>
        <w:t>Articles 12 and 13 of Council of Ministers Decree No. 86 (2024)</w:t>
      </w:r>
      <w:r w:rsidRPr="00D144B8">
        <w:rPr>
          <w:rFonts w:ascii="Kohinoor Devanagari" w:hAnsi="Kohinoor Devanagari" w:cs="Kohinoor Devanagari"/>
          <w:sz w:val="22"/>
          <w:szCs w:val="22"/>
          <w:lang w:eastAsia="en-GB"/>
        </w:rPr>
        <w:t>, which mandate the adoption of disclosure policies and require all relevant entities to provide timely and accurate data in line with EITI requirements. These provisions establish the legal basis for systematic and mandatory disclosure in the extractive sector.</w:t>
      </w:r>
    </w:p>
    <w:p w14:paraId="2EF9249E" w14:textId="7E1361E8" w:rsidR="00CB3919" w:rsidRPr="00A3573B" w:rsidRDefault="00CB3919" w:rsidP="008568EE">
      <w:pPr>
        <w:pStyle w:val="Heading3"/>
        <w:numPr>
          <w:ilvl w:val="2"/>
          <w:numId w:val="101"/>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Integration with National Reporting Systems</w:t>
      </w:r>
    </w:p>
    <w:p w14:paraId="7A7D30D7" w14:textId="0857F4C0" w:rsidR="00F72121" w:rsidRPr="00A3573B" w:rsidRDefault="00F72121" w:rsidP="00FD2B68">
      <w:pPr>
        <w:numPr>
          <w:ilvl w:val="0"/>
          <w:numId w:val="4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All extractive sector reporting systems</w:t>
      </w:r>
      <w:r w:rsidR="00F434F6">
        <w:rPr>
          <w:rFonts w:ascii="Kohinoor Devanagari" w:hAnsi="Kohinoor Devanagari" w:cs="Kohinoor Devanagari"/>
          <w:sz w:val="22"/>
          <w:szCs w:val="22"/>
          <w:lang w:eastAsia="en-GB"/>
        </w:rPr>
        <w:t xml:space="preserve"> </w:t>
      </w:r>
      <w:r w:rsidRPr="00A3573B">
        <w:rPr>
          <w:rFonts w:ascii="Kohinoor Devanagari" w:hAnsi="Kohinoor Devanagari" w:cs="Kohinoor Devanagari"/>
          <w:sz w:val="22"/>
          <w:szCs w:val="22"/>
          <w:lang w:eastAsia="en-GB"/>
        </w:rPr>
        <w:t>—</w:t>
      </w:r>
      <w:r w:rsidR="00F434F6">
        <w:rPr>
          <w:rFonts w:ascii="Kohinoor Devanagari" w:hAnsi="Kohinoor Devanagari" w:cs="Kohinoor Devanagari"/>
          <w:sz w:val="22"/>
          <w:szCs w:val="22"/>
          <w:lang w:eastAsia="en-GB"/>
        </w:rPr>
        <w:t xml:space="preserve"> </w:t>
      </w:r>
      <w:r w:rsidRPr="00A3573B">
        <w:rPr>
          <w:rFonts w:ascii="Kohinoor Devanagari" w:hAnsi="Kohinoor Devanagari" w:cs="Kohinoor Devanagari"/>
          <w:sz w:val="22"/>
          <w:szCs w:val="22"/>
          <w:lang w:eastAsia="en-GB"/>
        </w:rPr>
        <w:t>whether maintained by government, SOEs, or private companies</w:t>
      </w:r>
      <w:r w:rsidR="00F434F6">
        <w:rPr>
          <w:rFonts w:ascii="Kohinoor Devanagari" w:hAnsi="Kohinoor Devanagari" w:cs="Kohinoor Devanagari"/>
          <w:sz w:val="22"/>
          <w:szCs w:val="22"/>
          <w:lang w:eastAsia="en-GB"/>
        </w:rPr>
        <w:t xml:space="preserve"> </w:t>
      </w:r>
      <w:r w:rsidRPr="00A3573B">
        <w:rPr>
          <w:rFonts w:ascii="Kohinoor Devanagari" w:hAnsi="Kohinoor Devanagari" w:cs="Kohinoor Devanagari"/>
          <w:sz w:val="22"/>
          <w:szCs w:val="22"/>
          <w:lang w:eastAsia="en-GB"/>
        </w:rPr>
        <w:t>—</w:t>
      </w:r>
      <w:r w:rsidR="00F434F6">
        <w:rPr>
          <w:rFonts w:ascii="Kohinoor Devanagari" w:hAnsi="Kohinoor Devanagari" w:cs="Kohinoor Devanagari"/>
          <w:sz w:val="22"/>
          <w:szCs w:val="22"/>
          <w:lang w:eastAsia="en-GB"/>
        </w:rPr>
        <w:t xml:space="preserve"> </w:t>
      </w:r>
      <w:r w:rsidRPr="00A3573B">
        <w:rPr>
          <w:rFonts w:ascii="Kohinoor Devanagari" w:hAnsi="Kohinoor Devanagari" w:cs="Kohinoor Devanagari"/>
          <w:sz w:val="22"/>
          <w:szCs w:val="22"/>
          <w:lang w:eastAsia="en-GB"/>
        </w:rPr>
        <w:t>must integrate systematic disclosure principles.</w:t>
      </w:r>
    </w:p>
    <w:p w14:paraId="2FC7A8FC" w14:textId="77777777" w:rsidR="00F72121" w:rsidRPr="00A3573B" w:rsidRDefault="00F72121" w:rsidP="00FD2B68">
      <w:pPr>
        <w:numPr>
          <w:ilvl w:val="0"/>
          <w:numId w:val="4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Data shall be published directly through government or corporate reporting platforms.</w:t>
      </w:r>
    </w:p>
    <w:p w14:paraId="19AA8F36" w14:textId="5B9376C2" w:rsidR="00F72121" w:rsidRPr="00A3573B" w:rsidRDefault="00F72121" w:rsidP="00FD2B68">
      <w:pPr>
        <w:numPr>
          <w:ilvl w:val="0"/>
          <w:numId w:val="45"/>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The EITI Iraq MSG</w:t>
      </w:r>
      <w:r w:rsidR="00225998" w:rsidRPr="00A3573B">
        <w:rPr>
          <w:rFonts w:ascii="Kohinoor Devanagari" w:hAnsi="Kohinoor Devanagari" w:cs="Kohinoor Devanagari"/>
          <w:sz w:val="22"/>
          <w:szCs w:val="22"/>
          <w:lang w:eastAsia="en-GB"/>
        </w:rPr>
        <w:t xml:space="preserve">, with the support of </w:t>
      </w:r>
      <w:r w:rsidR="00882E46" w:rsidRPr="00A3573B">
        <w:rPr>
          <w:rFonts w:ascii="Kohinoor Devanagari" w:hAnsi="Kohinoor Devanagari" w:cs="Kohinoor Devanagari"/>
          <w:sz w:val="22"/>
          <w:szCs w:val="22"/>
          <w:lang w:eastAsia="en-GB"/>
        </w:rPr>
        <w:t xml:space="preserve">the </w:t>
      </w:r>
      <w:r w:rsidR="00225998" w:rsidRPr="00A3573B">
        <w:rPr>
          <w:rFonts w:ascii="Kohinoor Devanagari" w:hAnsi="Kohinoor Devanagari" w:cs="Kohinoor Devanagari"/>
          <w:sz w:val="22"/>
          <w:szCs w:val="22"/>
          <w:lang w:eastAsia="en-GB"/>
        </w:rPr>
        <w:t>COMSEC</w:t>
      </w:r>
      <w:r w:rsidR="00882E46" w:rsidRPr="00A3573B">
        <w:rPr>
          <w:rFonts w:ascii="Kohinoor Devanagari" w:hAnsi="Kohinoor Devanagari" w:cs="Kohinoor Devanagari"/>
          <w:sz w:val="22"/>
          <w:szCs w:val="22"/>
          <w:lang w:eastAsia="en-GB"/>
        </w:rPr>
        <w:t>,</w:t>
      </w:r>
      <w:r w:rsidRPr="00A3573B">
        <w:rPr>
          <w:rFonts w:ascii="Kohinoor Devanagari" w:hAnsi="Kohinoor Devanagari" w:cs="Kohinoor Devanagari"/>
          <w:sz w:val="22"/>
          <w:szCs w:val="22"/>
          <w:lang w:eastAsia="en-GB"/>
        </w:rPr>
        <w:t xml:space="preserve"> shall oversee system harmonization to ensure consistency and avoid fragmentation.</w:t>
      </w:r>
    </w:p>
    <w:p w14:paraId="55F80ACC" w14:textId="4BC5A337" w:rsidR="004622B9" w:rsidRPr="00A3573B" w:rsidRDefault="004622B9" w:rsidP="008568EE">
      <w:pPr>
        <w:pStyle w:val="Heading2"/>
        <w:numPr>
          <w:ilvl w:val="1"/>
          <w:numId w:val="101"/>
        </w:numPr>
        <w:spacing w:before="120" w:after="120" w:line="240" w:lineRule="auto"/>
        <w:ind w:left="426" w:hanging="426"/>
        <w:jc w:val="both"/>
        <w:rPr>
          <w:rFonts w:ascii="Kohinoor Devanagari" w:hAnsi="Kohinoor Devanagari" w:cs="Kohinoor Devanagari"/>
          <w:b/>
          <w:bCs/>
          <w:sz w:val="22"/>
          <w:szCs w:val="22"/>
        </w:rPr>
      </w:pPr>
      <w:bookmarkStart w:id="34" w:name="_Toc194240173"/>
      <w:r w:rsidRPr="00A3573B">
        <w:rPr>
          <w:rFonts w:ascii="Kohinoor Devanagari" w:hAnsi="Kohinoor Devanagari" w:cs="Kohinoor Devanagari"/>
          <w:b/>
          <w:bCs/>
          <w:sz w:val="22"/>
          <w:szCs w:val="22"/>
        </w:rPr>
        <w:t>Policy Provisions</w:t>
      </w:r>
      <w:bookmarkEnd w:id="34"/>
    </w:p>
    <w:p w14:paraId="58D96B65" w14:textId="77777777" w:rsidR="00FE06F1" w:rsidRPr="00A3573B" w:rsidRDefault="00FE06F1" w:rsidP="008568EE">
      <w:pPr>
        <w:pStyle w:val="Heading3"/>
        <w:numPr>
          <w:ilvl w:val="2"/>
          <w:numId w:val="101"/>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Mandatory Disclosure Requirements</w:t>
      </w:r>
    </w:p>
    <w:p w14:paraId="27F9EA98" w14:textId="62339A44" w:rsidR="00FE06F1" w:rsidRPr="00A3573B" w:rsidRDefault="00FE06F1" w:rsidP="007D7404">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All entities covered by this Policy shall systematically disclose, at source, the following categories of information</w:t>
      </w:r>
      <w:r w:rsidR="007D7404">
        <w:rPr>
          <w:rFonts w:ascii="Kohinoor Devanagari" w:hAnsi="Kohinoor Devanagari" w:cs="Kohinoor Devanagari"/>
          <w:sz w:val="22"/>
          <w:szCs w:val="22"/>
          <w:lang w:eastAsia="en-GB"/>
        </w:rPr>
        <w:t>:</w:t>
      </w:r>
      <w:r w:rsidRPr="00A3573B">
        <w:rPr>
          <w:rFonts w:ascii="Kohinoor Devanagari" w:hAnsi="Kohinoor Devanagari" w:cs="Kohinoor Devanagari"/>
          <w:sz w:val="22"/>
          <w:szCs w:val="22"/>
          <w:lang w:eastAsia="en-GB"/>
        </w:rPr>
        <w:t xml:space="preserve"> </w:t>
      </w:r>
    </w:p>
    <w:p w14:paraId="39A98816" w14:textId="77777777" w:rsidR="00FE06F1" w:rsidRPr="00A3573B" w:rsidRDefault="00FE06F1" w:rsidP="00FE06F1">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Legal and Fiscal Framework:</w:t>
      </w:r>
      <w:r w:rsidRPr="00A3573B">
        <w:rPr>
          <w:rFonts w:ascii="Kohinoor Devanagari" w:hAnsi="Kohinoor Devanagari" w:cs="Kohinoor Devanagari"/>
          <w:sz w:val="22"/>
          <w:szCs w:val="22"/>
          <w:lang w:eastAsia="en-GB"/>
        </w:rPr>
        <w:t xml:space="preserve"> All relevant laws, regulations, and fiscal regimes governing the extractive sector, including details of ongoing reforms.</w:t>
      </w:r>
    </w:p>
    <w:p w14:paraId="37D676AE" w14:textId="363925EB" w:rsidR="00FE06F1" w:rsidRPr="00A3573B" w:rsidRDefault="00FE06F1" w:rsidP="00FE06F1">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Contracts and Licenses:</w:t>
      </w:r>
      <w:r w:rsidRPr="00A3573B">
        <w:rPr>
          <w:rFonts w:ascii="Kohinoor Devanagari" w:hAnsi="Kohinoor Devanagari" w:cs="Kohinoor Devanagari"/>
          <w:sz w:val="22"/>
          <w:szCs w:val="22"/>
          <w:lang w:eastAsia="en-GB"/>
        </w:rPr>
        <w:t xml:space="preserve"> Full texts of all active contracts and licenses (including annexes, amendments, riders, Environmental Impact Assessments and any associated mitigation plans).</w:t>
      </w:r>
      <w:r w:rsidRPr="00A3573B">
        <w:rPr>
          <w:rFonts w:ascii="Kohinoor Devanagari" w:hAnsi="Kohinoor Devanagari" w:cs="Kohinoor Devanagari"/>
        </w:rPr>
        <w:t xml:space="preserve"> </w:t>
      </w:r>
      <w:r w:rsidRPr="00A3573B">
        <w:rPr>
          <w:rFonts w:ascii="Kohinoor Devanagari" w:hAnsi="Kohinoor Devanagari" w:cs="Kohinoor Devanagari"/>
          <w:sz w:val="22"/>
          <w:szCs w:val="22"/>
          <w:lang w:eastAsia="en-GB"/>
        </w:rPr>
        <w:t>Disclosure is required immediately upon signing and must be publicly accessible.</w:t>
      </w:r>
    </w:p>
    <w:p w14:paraId="3993BE03" w14:textId="77777777" w:rsidR="00FE06F1" w:rsidRPr="00A3573B" w:rsidRDefault="00FE06F1" w:rsidP="00FE06F1">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Register of Licenses:</w:t>
      </w:r>
      <w:r w:rsidRPr="00A3573B">
        <w:rPr>
          <w:rFonts w:ascii="Kohinoor Devanagari" w:hAnsi="Kohinoor Devanagari" w:cs="Kohinoor Devanagari"/>
          <w:sz w:val="22"/>
          <w:szCs w:val="22"/>
          <w:lang w:eastAsia="en-GB"/>
        </w:rPr>
        <w:t xml:space="preserve"> A comprehensive, continuously updated cadastral portal listing all active extractive rights, including any changes in status.</w:t>
      </w:r>
    </w:p>
    <w:p w14:paraId="73ED59E5" w14:textId="77777777" w:rsidR="00FE06F1" w:rsidRPr="00A3573B" w:rsidRDefault="00FE06F1" w:rsidP="00FE06F1">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Beneficial Ownership:</w:t>
      </w:r>
      <w:r w:rsidRPr="00A3573B">
        <w:rPr>
          <w:rFonts w:ascii="Kohinoor Devanagari" w:hAnsi="Kohinoor Devanagari" w:cs="Kohinoor Devanagari"/>
          <w:sz w:val="22"/>
          <w:szCs w:val="22"/>
          <w:lang w:eastAsia="en-GB"/>
        </w:rPr>
        <w:t xml:space="preserve"> Complete disclosure of individuals or entities that exercise significant control, as defined by EITI and/or national regulation, in companies operating within the extractive sector. Updates at least annually to reflect any change in ownership.</w:t>
      </w:r>
    </w:p>
    <w:p w14:paraId="739E9A1A" w14:textId="77777777" w:rsidR="00FE06F1" w:rsidRPr="00A3573B" w:rsidRDefault="00FE06F1" w:rsidP="00FE06F1">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State Participation:</w:t>
      </w:r>
      <w:r w:rsidRPr="00A3573B">
        <w:rPr>
          <w:rFonts w:ascii="Kohinoor Devanagari" w:hAnsi="Kohinoor Devanagari" w:cs="Kohinoor Devanagari"/>
          <w:sz w:val="22"/>
          <w:szCs w:val="22"/>
          <w:lang w:eastAsia="en-GB"/>
        </w:rPr>
        <w:t xml:space="preserve"> Detailed financial and operational information concerning State-Owned Enterprises (SOEs), including audited annual financial statements, major transactions, loans, and any state-backed guarantees. Clear disclosure of the state’s shareholding, governance structure, and any financial flows between SOEs and government entities.</w:t>
      </w:r>
    </w:p>
    <w:p w14:paraId="268AD7A6" w14:textId="77777777" w:rsidR="00FE06F1" w:rsidRPr="00A3573B" w:rsidRDefault="00FE06F1" w:rsidP="00FE06F1">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Exploration, Production, and Export Data:</w:t>
      </w:r>
      <w:r w:rsidRPr="00A3573B">
        <w:rPr>
          <w:rFonts w:ascii="Kohinoor Devanagari" w:hAnsi="Kohinoor Devanagari" w:cs="Kohinoor Devanagari"/>
          <w:sz w:val="22"/>
          <w:szCs w:val="22"/>
          <w:lang w:eastAsia="en-GB"/>
        </w:rPr>
        <w:t xml:space="preserve"> Annual and, where feasible, real-time data on exploration activities, production volumes, and export figures, disaggregated by commodity, company, project, and location.</w:t>
      </w:r>
    </w:p>
    <w:p w14:paraId="377FCD0D" w14:textId="70C3E2BE" w:rsidR="00FE06F1" w:rsidRPr="00A3573B" w:rsidRDefault="00FE06F1" w:rsidP="00FE06F1">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Revenue Collection and Distribution:</w:t>
      </w:r>
      <w:r w:rsidRPr="00A3573B">
        <w:rPr>
          <w:rFonts w:ascii="Kohinoor Devanagari" w:hAnsi="Kohinoor Devanagari" w:cs="Kohinoor Devanagari"/>
          <w:sz w:val="22"/>
          <w:szCs w:val="22"/>
          <w:lang w:eastAsia="en-GB"/>
        </w:rPr>
        <w:t xml:space="preserve"> Comprehensive data on both tax and non-tax revenues (royalties, bonuses, fees, and in-kind payments), disaggregated by revenue stream and by the recipient government entity and clear information on how these revenues are allocated, transferred, or used at the national and subnational levels.</w:t>
      </w:r>
    </w:p>
    <w:p w14:paraId="3CEA4C15" w14:textId="77777777" w:rsidR="00FE06F1" w:rsidRPr="00A3573B" w:rsidRDefault="00FE06F1" w:rsidP="00FE06F1">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Infrastructure and Barter Arrangements:</w:t>
      </w:r>
      <w:r w:rsidRPr="00A3573B">
        <w:rPr>
          <w:rFonts w:ascii="Kohinoor Devanagari" w:hAnsi="Kohinoor Devanagari" w:cs="Kohinoor Devanagari"/>
          <w:sz w:val="22"/>
          <w:szCs w:val="22"/>
          <w:lang w:eastAsia="en-GB"/>
        </w:rPr>
        <w:t xml:space="preserve"> Disclosure of all relevant infrastructure agreements and barter transactions related to the extractive sector and publication of contractual terms, project scope, parties involved, and the corresponding fiscal or in-kind obligations.</w:t>
      </w:r>
    </w:p>
    <w:p w14:paraId="03758BBD" w14:textId="77777777" w:rsidR="00FE06F1" w:rsidRPr="00A3573B" w:rsidRDefault="00FE06F1" w:rsidP="00FE06F1">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Social, Environmental, and Quasi-Fiscal Expenditures:</w:t>
      </w:r>
      <w:r w:rsidRPr="00A3573B">
        <w:rPr>
          <w:rFonts w:ascii="Kohinoor Devanagari" w:hAnsi="Kohinoor Devanagari" w:cs="Kohinoor Devanagari"/>
          <w:sz w:val="22"/>
          <w:szCs w:val="22"/>
          <w:lang w:eastAsia="en-GB"/>
        </w:rPr>
        <w:t xml:space="preserve"> Detailed reporting of expenditures and payments made for social and environmental purposes, subnational transfers, GHG emissions, and any quasi-fiscal activities undertaken by SOEs including indirect subsidies, or any off-budget spending linked to extractive operations.</w:t>
      </w:r>
    </w:p>
    <w:p w14:paraId="4F7E776C" w14:textId="77777777" w:rsidR="00FE06F1" w:rsidRPr="00A3573B" w:rsidRDefault="00FE06F1" w:rsidP="00FE06F1">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Forward-Looking Sector Projections</w:t>
      </w:r>
      <w:r w:rsidRPr="00A3573B">
        <w:rPr>
          <w:rFonts w:ascii="Kohinoor Devanagari" w:hAnsi="Kohinoor Devanagari" w:cs="Kohinoor Devanagari"/>
          <w:sz w:val="22"/>
          <w:szCs w:val="22"/>
          <w:lang w:eastAsia="en-GB"/>
        </w:rPr>
        <w:t>: Information on medium- and long-term forecasts, investment strategies, budget projections, and other forward-looking analyses for the extractive sector including expected production levels, future capital expenditures, and revenue outlooks to inform policy planning and public debate.</w:t>
      </w:r>
    </w:p>
    <w:p w14:paraId="1E4E5FED" w14:textId="788842C6" w:rsidR="007D7404" w:rsidRPr="00A3573B" w:rsidRDefault="007D7404" w:rsidP="007D7404">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 xml:space="preserve">The list </w:t>
      </w:r>
      <w:r>
        <w:rPr>
          <w:rFonts w:ascii="Kohinoor Devanagari" w:hAnsi="Kohinoor Devanagari" w:cs="Kohinoor Devanagari"/>
          <w:sz w:val="22"/>
          <w:szCs w:val="22"/>
          <w:lang w:eastAsia="en-GB"/>
        </w:rPr>
        <w:t>above</w:t>
      </w:r>
      <w:r w:rsidRPr="00A3573B">
        <w:rPr>
          <w:rFonts w:ascii="Kohinoor Devanagari" w:hAnsi="Kohinoor Devanagari" w:cs="Kohinoor Devanagari"/>
          <w:sz w:val="22"/>
          <w:szCs w:val="22"/>
          <w:lang w:eastAsia="en-GB"/>
        </w:rPr>
        <w:t xml:space="preserve"> is </w:t>
      </w:r>
      <w:r w:rsidRPr="00A3573B">
        <w:rPr>
          <w:rFonts w:ascii="Kohinoor Devanagari" w:hAnsi="Kohinoor Devanagari" w:cs="Kohinoor Devanagari"/>
          <w:b/>
          <w:bCs/>
          <w:sz w:val="22"/>
          <w:szCs w:val="22"/>
          <w:lang w:eastAsia="en-GB"/>
        </w:rPr>
        <w:t>non-exhaustive</w:t>
      </w:r>
      <w:r w:rsidRPr="00A3573B">
        <w:rPr>
          <w:rFonts w:ascii="Kohinoor Devanagari" w:hAnsi="Kohinoor Devanagari" w:cs="Kohinoor Devanagari"/>
          <w:sz w:val="22"/>
          <w:szCs w:val="22"/>
          <w:lang w:eastAsia="en-GB"/>
        </w:rPr>
        <w:t xml:space="preserve"> and may be expanded by additional directives:</w:t>
      </w:r>
    </w:p>
    <w:p w14:paraId="78695B7C" w14:textId="4129E6FF" w:rsidR="005301AF" w:rsidRPr="00CC6839" w:rsidRDefault="005301AF" w:rsidP="005301AF">
      <w:pPr>
        <w:spacing w:before="120" w:after="120" w:line="240" w:lineRule="auto"/>
        <w:jc w:val="both"/>
        <w:rPr>
          <w:rFonts w:ascii="Kohinoor Devanagari" w:hAnsi="Kohinoor Devanagari" w:cs="Kohinoor Devanagari"/>
          <w:b/>
          <w:bCs/>
          <w:sz w:val="22"/>
          <w:szCs w:val="22"/>
          <w:lang w:eastAsia="en-GB"/>
        </w:rPr>
      </w:pPr>
      <w:r w:rsidRPr="00835B60">
        <w:rPr>
          <w:rFonts w:ascii="Kohinoor Devanagari" w:hAnsi="Kohinoor Devanagari" w:cs="Kohinoor Devanagari"/>
          <w:sz w:val="22"/>
          <w:szCs w:val="22"/>
          <w:lang w:eastAsia="en-GB"/>
        </w:rPr>
        <w:t xml:space="preserve">A detailed breakdown of data types, disclosure frequency, and formats is </w:t>
      </w:r>
      <w:r w:rsidRPr="00835B60">
        <w:rPr>
          <w:rFonts w:ascii="Kohinoor Devanagari" w:hAnsi="Kohinoor Devanagari" w:cs="Kohinoor Devanagari"/>
          <w:b/>
          <w:bCs/>
          <w:sz w:val="22"/>
          <w:szCs w:val="22"/>
          <w:lang w:eastAsia="en-GB"/>
        </w:rPr>
        <w:t xml:space="preserve">provided in Annex </w:t>
      </w:r>
      <w:r w:rsidR="00835B60" w:rsidRPr="00835B60">
        <w:rPr>
          <w:rFonts w:ascii="Kohinoor Devanagari" w:hAnsi="Kohinoor Devanagari" w:cs="Kohinoor Devanagari"/>
          <w:b/>
          <w:bCs/>
          <w:sz w:val="22"/>
          <w:szCs w:val="22"/>
          <w:lang w:eastAsia="en-GB"/>
        </w:rPr>
        <w:t>9.1</w:t>
      </w:r>
      <w:r w:rsidRPr="00835B60">
        <w:rPr>
          <w:rFonts w:ascii="Kohinoor Devanagari" w:hAnsi="Kohinoor Devanagari" w:cs="Kohinoor Devanagari"/>
          <w:b/>
          <w:bCs/>
          <w:sz w:val="22"/>
          <w:szCs w:val="22"/>
          <w:lang w:eastAsia="en-GB"/>
        </w:rPr>
        <w:t>: Iraq EITI Data Disclosure Framework.</w:t>
      </w:r>
    </w:p>
    <w:p w14:paraId="554C3B49" w14:textId="631204F9" w:rsidR="00A64D77" w:rsidRPr="00A3573B" w:rsidRDefault="00A64D77" w:rsidP="008568EE">
      <w:pPr>
        <w:pStyle w:val="Heading3"/>
        <w:numPr>
          <w:ilvl w:val="2"/>
          <w:numId w:val="101"/>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Open Data Standards</w:t>
      </w:r>
      <w:r w:rsidR="0006176C" w:rsidRPr="00A3573B">
        <w:rPr>
          <w:rFonts w:ascii="Kohinoor Devanagari" w:hAnsi="Kohinoor Devanagari" w:cs="Kohinoor Devanagari"/>
          <w:b/>
          <w:bCs/>
          <w:sz w:val="22"/>
          <w:szCs w:val="22"/>
          <w:lang w:eastAsia="en-GB"/>
        </w:rPr>
        <w:t xml:space="preserve">, </w:t>
      </w:r>
      <w:r w:rsidRPr="00A3573B">
        <w:rPr>
          <w:rFonts w:ascii="Kohinoor Devanagari" w:hAnsi="Kohinoor Devanagari" w:cs="Kohinoor Devanagari"/>
          <w:b/>
          <w:bCs/>
          <w:sz w:val="22"/>
          <w:szCs w:val="22"/>
          <w:lang w:eastAsia="en-GB"/>
        </w:rPr>
        <w:t>Formats</w:t>
      </w:r>
      <w:r w:rsidR="0006176C" w:rsidRPr="00A3573B">
        <w:rPr>
          <w:rFonts w:ascii="Kohinoor Devanagari" w:hAnsi="Kohinoor Devanagari" w:cs="Kohinoor Devanagari"/>
          <w:b/>
          <w:bCs/>
          <w:sz w:val="22"/>
          <w:szCs w:val="22"/>
          <w:lang w:eastAsia="en-GB"/>
        </w:rPr>
        <w:t xml:space="preserve"> and accessibility</w:t>
      </w:r>
    </w:p>
    <w:p w14:paraId="4B901553" w14:textId="77777777" w:rsidR="00B4254B" w:rsidRPr="00A3573B" w:rsidRDefault="00A64D77" w:rsidP="00A64D77">
      <w:p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Mandatory Use of Open Formats</w:t>
      </w:r>
    </w:p>
    <w:p w14:paraId="688B3709" w14:textId="718EF8ED" w:rsidR="00A64D77" w:rsidRPr="00A3573B" w:rsidRDefault="00A64D77" w:rsidP="00A64D77">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All extractive sector data must be published in open, machine</w:t>
      </w:r>
      <w:r w:rsidRPr="00A3573B">
        <w:rPr>
          <w:rFonts w:ascii="Kohinoor Devanagari" w:hAnsi="Kohinoor Devanagari" w:cs="Kohinoor Devanagari"/>
          <w:sz w:val="22"/>
          <w:szCs w:val="22"/>
          <w:lang w:eastAsia="en-GB"/>
        </w:rPr>
        <w:noBreakHyphen/>
        <w:t>readable formats (at a minimum, CSV or Excel files) and, where feasible, in more advanced formats such as RDF or linked open data.</w:t>
      </w:r>
    </w:p>
    <w:p w14:paraId="2D891ED3" w14:textId="77777777" w:rsidR="00B4254B" w:rsidRPr="00A3573B" w:rsidRDefault="00A64D77" w:rsidP="00A64D77">
      <w:p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Data Licensing</w:t>
      </w:r>
    </w:p>
    <w:p w14:paraId="3FCB341A" w14:textId="1C02DBD8" w:rsidR="00A64D77" w:rsidRPr="00A3573B" w:rsidRDefault="00A64D77" w:rsidP="00A64D77">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Data shall be published under open licenses or, where appropriate, placed in the public domain. This ensures users can freely reuse, modify, and redistribute the data.</w:t>
      </w:r>
    </w:p>
    <w:p w14:paraId="628A5C70" w14:textId="77777777" w:rsidR="00F47005" w:rsidRDefault="00F47005">
      <w:pPr>
        <w:rPr>
          <w:rFonts w:ascii="Kohinoor Devanagari" w:hAnsi="Kohinoor Devanagari" w:cs="Kohinoor Devanagari"/>
          <w:b/>
          <w:bCs/>
          <w:sz w:val="22"/>
          <w:szCs w:val="22"/>
          <w:lang w:eastAsia="en-GB"/>
        </w:rPr>
      </w:pPr>
      <w:r>
        <w:rPr>
          <w:rFonts w:ascii="Kohinoor Devanagari" w:hAnsi="Kohinoor Devanagari" w:cs="Kohinoor Devanagari"/>
          <w:b/>
          <w:bCs/>
          <w:sz w:val="22"/>
          <w:szCs w:val="22"/>
          <w:lang w:eastAsia="en-GB"/>
        </w:rPr>
        <w:br w:type="page"/>
      </w:r>
    </w:p>
    <w:p w14:paraId="25BF1020" w14:textId="56284921" w:rsidR="00B4254B" w:rsidRPr="00A3573B" w:rsidRDefault="00A64D77" w:rsidP="00A64D77">
      <w:p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 xml:space="preserve">Data Quality and </w:t>
      </w:r>
      <w:r w:rsidR="004B2C0C" w:rsidRPr="00A3573B">
        <w:rPr>
          <w:rFonts w:ascii="Kohinoor Devanagari" w:hAnsi="Kohinoor Devanagari" w:cs="Kohinoor Devanagari"/>
          <w:b/>
          <w:bCs/>
          <w:sz w:val="22"/>
          <w:szCs w:val="22"/>
          <w:lang w:eastAsia="en-GB"/>
        </w:rPr>
        <w:t>Standardization</w:t>
      </w:r>
    </w:p>
    <w:p w14:paraId="719AAF7F" w14:textId="46AAE925" w:rsidR="00A64D77" w:rsidRPr="00A3573B" w:rsidRDefault="00A64D77" w:rsidP="00A64D77">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Entities are required to adopt national and international data standards—such as those for fiscal reporting, commodity codes, and legal entity identifiers—to ensure consistency and interoperability.</w:t>
      </w:r>
    </w:p>
    <w:p w14:paraId="558D7A15" w14:textId="33909A52" w:rsidR="00B4254B" w:rsidRPr="00A3573B" w:rsidRDefault="00B4254B" w:rsidP="00B4254B">
      <w:p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Publication and Access to Data</w:t>
      </w:r>
    </w:p>
    <w:p w14:paraId="793BF519" w14:textId="77777777" w:rsidR="00DB5AA2" w:rsidRPr="00A3573B" w:rsidRDefault="00DB5AA2" w:rsidP="00FD2B68">
      <w:pPr>
        <w:numPr>
          <w:ilvl w:val="0"/>
          <w:numId w:val="51"/>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Reporting entities must publish data on their official websites and contribute to the centralized open data portal managed by the EITI Iraq MSG.</w:t>
      </w:r>
    </w:p>
    <w:p w14:paraId="0C36C289" w14:textId="77777777" w:rsidR="00DB5AA2" w:rsidRPr="00A3573B" w:rsidRDefault="00DB5AA2" w:rsidP="00FD2B68">
      <w:pPr>
        <w:numPr>
          <w:ilvl w:val="0"/>
          <w:numId w:val="51"/>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All disclosed data must be accompanied by metadata and explanatory notes, clarifying analytical limitations, methodologies, and legal/security considerations.</w:t>
      </w:r>
    </w:p>
    <w:p w14:paraId="2BD1BE63" w14:textId="77777777" w:rsidR="00DB5AA2" w:rsidRPr="00A3573B" w:rsidRDefault="00DB5AA2" w:rsidP="00FD2B68">
      <w:pPr>
        <w:numPr>
          <w:ilvl w:val="0"/>
          <w:numId w:val="51"/>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Data should be accessible to all stakeholders, including non-digital users, through printed reports, summary sheets, and community outreach initiatives.</w:t>
      </w:r>
    </w:p>
    <w:p w14:paraId="2881B3C8" w14:textId="77777777" w:rsidR="00DB5AA2" w:rsidRPr="00A3573B" w:rsidRDefault="00DB5AA2" w:rsidP="00FD2B68">
      <w:pPr>
        <w:numPr>
          <w:ilvl w:val="0"/>
          <w:numId w:val="51"/>
        </w:num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Regular updates and proper archiving of extractive sector data must be ensured to maintain data integrity and historical accessibility.</w:t>
      </w:r>
    </w:p>
    <w:p w14:paraId="12DAD501" w14:textId="77777777" w:rsidR="00DB5AA2" w:rsidRPr="00A3573B" w:rsidRDefault="00DB5AA2" w:rsidP="00DB5AA2">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This integrated approach ensures that extractive sector data is transparent, accessible, and standardized, aligning with both national regulations and international best practices.</w:t>
      </w:r>
    </w:p>
    <w:p w14:paraId="2E96AF52" w14:textId="76BC8AD4" w:rsidR="00B50345" w:rsidRPr="009D374D" w:rsidRDefault="00B50345" w:rsidP="008568EE">
      <w:pPr>
        <w:pStyle w:val="Heading2"/>
        <w:numPr>
          <w:ilvl w:val="1"/>
          <w:numId w:val="101"/>
        </w:numPr>
        <w:spacing w:before="120" w:after="120" w:line="240" w:lineRule="auto"/>
        <w:ind w:left="426" w:hanging="426"/>
        <w:jc w:val="both"/>
        <w:rPr>
          <w:rFonts w:ascii="Kohinoor Devanagari" w:hAnsi="Kohinoor Devanagari" w:cs="Kohinoor Devanagari"/>
          <w:b/>
          <w:bCs/>
          <w:sz w:val="22"/>
          <w:szCs w:val="22"/>
        </w:rPr>
      </w:pPr>
      <w:bookmarkStart w:id="35" w:name="_Toc194240174"/>
      <w:r w:rsidRPr="009D374D">
        <w:rPr>
          <w:rFonts w:ascii="Kohinoor Devanagari" w:hAnsi="Kohinoor Devanagari" w:cs="Kohinoor Devanagari"/>
          <w:b/>
          <w:bCs/>
          <w:sz w:val="22"/>
          <w:szCs w:val="22"/>
        </w:rPr>
        <w:t>Governance and Enforcement</w:t>
      </w:r>
      <w:bookmarkEnd w:id="35"/>
    </w:p>
    <w:p w14:paraId="0BF55688" w14:textId="34B8B986" w:rsidR="002C0EC6" w:rsidRPr="00A3573B" w:rsidRDefault="002F3087" w:rsidP="008568EE">
      <w:pPr>
        <w:pStyle w:val="Heading3"/>
        <w:numPr>
          <w:ilvl w:val="2"/>
          <w:numId w:val="101"/>
        </w:numPr>
        <w:spacing w:before="120" w:after="120" w:line="240" w:lineRule="auto"/>
        <w:jc w:val="both"/>
        <w:rPr>
          <w:rFonts w:ascii="Kohinoor Devanagari" w:hAnsi="Kohinoor Devanagari" w:cs="Kohinoor Devanagari"/>
          <w:b/>
          <w:bCs/>
          <w:sz w:val="22"/>
          <w:szCs w:val="22"/>
          <w:lang w:eastAsia="en-GB"/>
        </w:rPr>
      </w:pPr>
      <w:r>
        <w:rPr>
          <w:rFonts w:ascii="Kohinoor Devanagari" w:hAnsi="Kohinoor Devanagari" w:cs="Kohinoor Devanagari"/>
          <w:b/>
          <w:bCs/>
          <w:sz w:val="22"/>
          <w:szCs w:val="22"/>
          <w:lang w:eastAsia="en-GB"/>
        </w:rPr>
        <w:t xml:space="preserve">Implementation </w:t>
      </w:r>
      <w:r w:rsidR="001B1D54">
        <w:rPr>
          <w:rFonts w:ascii="Kohinoor Devanagari" w:hAnsi="Kohinoor Devanagari" w:cs="Kohinoor Devanagari"/>
          <w:b/>
          <w:bCs/>
          <w:sz w:val="22"/>
          <w:szCs w:val="22"/>
          <w:lang w:eastAsia="en-GB"/>
        </w:rPr>
        <w:t>Oversight</w:t>
      </w:r>
    </w:p>
    <w:p w14:paraId="41417B57" w14:textId="7BD7E854" w:rsidR="001B1D54" w:rsidRPr="00BE1C69" w:rsidRDefault="001B1D54" w:rsidP="001B1D54">
      <w:pPr>
        <w:spacing w:before="120" w:after="120"/>
        <w:jc w:val="both"/>
        <w:rPr>
          <w:rFonts w:ascii="Kohinoor Devanagari" w:hAnsi="Kohinoor Devanagari" w:cs="Kohinoor Devanagari"/>
          <w:sz w:val="22"/>
          <w:szCs w:val="22"/>
          <w:lang w:eastAsia="en-GB"/>
        </w:rPr>
      </w:pPr>
      <w:r w:rsidRPr="00BE1C69">
        <w:rPr>
          <w:rFonts w:ascii="Times New Roman" w:eastAsia="Times New Roman" w:hAnsi="Symbol" w:cs="Times New Roman"/>
          <w:kern w:val="0"/>
          <w:lang w:eastAsia="fr-FR"/>
          <w14:ligatures w14:val="none"/>
        </w:rPr>
        <w:t xml:space="preserve"> </w:t>
      </w:r>
      <w:r w:rsidRPr="00BE1C69">
        <w:rPr>
          <w:rFonts w:ascii="Kohinoor Devanagari" w:hAnsi="Kohinoor Devanagari" w:cs="Kohinoor Devanagari"/>
          <w:sz w:val="22"/>
          <w:szCs w:val="22"/>
          <w:lang w:eastAsia="en-GB"/>
        </w:rPr>
        <w:t xml:space="preserve">The </w:t>
      </w:r>
      <w:r w:rsidRPr="00BE1C69">
        <w:rPr>
          <w:rFonts w:ascii="Kohinoor Devanagari" w:hAnsi="Kohinoor Devanagari" w:cs="Kohinoor Devanagari"/>
          <w:b/>
          <w:bCs/>
          <w:sz w:val="22"/>
          <w:szCs w:val="22"/>
          <w:lang w:eastAsia="en-GB"/>
        </w:rPr>
        <w:t>Council of Ministers Secretariat (COMSEC)</w:t>
      </w:r>
      <w:r w:rsidRPr="00BE1C69">
        <w:rPr>
          <w:rFonts w:ascii="Kohinoor Devanagari" w:hAnsi="Kohinoor Devanagari" w:cs="Kohinoor Devanagari"/>
          <w:sz w:val="22"/>
          <w:szCs w:val="22"/>
          <w:lang w:eastAsia="en-GB"/>
        </w:rPr>
        <w:t xml:space="preserve"> will oversee implementation, ensuring coordination among government institutions and enforcing compliance among ministries and </w:t>
      </w:r>
      <w:r w:rsidRPr="00BE1C69">
        <w:rPr>
          <w:rFonts w:ascii="Kohinoor Devanagari" w:hAnsi="Kohinoor Devanagari" w:cs="Kohinoor Devanagari"/>
          <w:b/>
          <w:bCs/>
          <w:sz w:val="22"/>
          <w:szCs w:val="22"/>
          <w:lang w:eastAsia="en-GB"/>
        </w:rPr>
        <w:t>state-owned enterprises (SOEs)</w:t>
      </w:r>
      <w:r w:rsidRPr="00BE1C69">
        <w:rPr>
          <w:rFonts w:ascii="Kohinoor Devanagari" w:hAnsi="Kohinoor Devanagari" w:cs="Kohinoor Devanagari"/>
          <w:sz w:val="22"/>
          <w:szCs w:val="22"/>
          <w:lang w:eastAsia="en-GB"/>
        </w:rPr>
        <w:t xml:space="preserve">. </w:t>
      </w:r>
    </w:p>
    <w:p w14:paraId="08258C27" w14:textId="046C7A32" w:rsidR="001B1D54" w:rsidRPr="00BE1C69" w:rsidRDefault="001B1D54" w:rsidP="001B1D54">
      <w:pPr>
        <w:spacing w:before="120" w:after="120"/>
        <w:jc w:val="both"/>
        <w:rPr>
          <w:rFonts w:ascii="Kohinoor Devanagari" w:hAnsi="Kohinoor Devanagari" w:cs="Kohinoor Devanagari"/>
          <w:sz w:val="22"/>
          <w:szCs w:val="22"/>
          <w:lang w:eastAsia="en-GB"/>
        </w:rPr>
      </w:pPr>
      <w:r w:rsidRPr="00BE1C69">
        <w:rPr>
          <w:rFonts w:ascii="Kohinoor Devanagari" w:hAnsi="Kohinoor Devanagari" w:cs="Kohinoor Devanagari"/>
          <w:sz w:val="22"/>
          <w:szCs w:val="22"/>
          <w:lang w:eastAsia="en-GB"/>
        </w:rPr>
        <w:t xml:space="preserve">The </w:t>
      </w:r>
      <w:r w:rsidRPr="00BE1C69">
        <w:rPr>
          <w:rFonts w:ascii="Kohinoor Devanagari" w:hAnsi="Kohinoor Devanagari" w:cs="Kohinoor Devanagari"/>
          <w:b/>
          <w:bCs/>
          <w:sz w:val="22"/>
          <w:szCs w:val="22"/>
          <w:lang w:eastAsia="en-GB"/>
        </w:rPr>
        <w:t>Iraq EITI Multi-Stakeholder Group (MSG)</w:t>
      </w:r>
      <w:r w:rsidRPr="00BE1C69">
        <w:rPr>
          <w:rFonts w:ascii="Kohinoor Devanagari" w:hAnsi="Kohinoor Devanagari" w:cs="Kohinoor Devanagari"/>
          <w:sz w:val="22"/>
          <w:szCs w:val="22"/>
          <w:lang w:eastAsia="en-GB"/>
        </w:rPr>
        <w:t xml:space="preserve"> will serve as a </w:t>
      </w:r>
      <w:r w:rsidRPr="00BE1C69">
        <w:rPr>
          <w:rFonts w:ascii="Kohinoor Devanagari" w:hAnsi="Kohinoor Devanagari" w:cs="Kohinoor Devanagari"/>
          <w:b/>
          <w:bCs/>
          <w:sz w:val="22"/>
          <w:szCs w:val="22"/>
          <w:lang w:eastAsia="en-GB"/>
        </w:rPr>
        <w:t>monitoring and advisory</w:t>
      </w:r>
      <w:r w:rsidRPr="00BE1C69">
        <w:rPr>
          <w:rFonts w:ascii="Kohinoor Devanagari" w:hAnsi="Kohinoor Devanagari" w:cs="Kohinoor Devanagari"/>
          <w:sz w:val="22"/>
          <w:szCs w:val="22"/>
          <w:lang w:eastAsia="en-GB"/>
        </w:rPr>
        <w:t xml:space="preserve"> body, assessing the effectiveness of systematic disclosure practices and recommending improvements. </w:t>
      </w:r>
    </w:p>
    <w:p w14:paraId="0F7720B0" w14:textId="68899960" w:rsidR="002C0EC6" w:rsidRPr="00A3573B" w:rsidRDefault="001B1D54" w:rsidP="001B1D54">
      <w:pPr>
        <w:spacing w:before="120" w:after="120"/>
        <w:jc w:val="both"/>
        <w:rPr>
          <w:rFonts w:ascii="Kohinoor Devanagari" w:hAnsi="Kohinoor Devanagari" w:cs="Kohinoor Devanagari"/>
          <w:sz w:val="22"/>
          <w:szCs w:val="22"/>
          <w:lang w:eastAsia="en-GB"/>
        </w:rPr>
      </w:pPr>
      <w:r w:rsidRPr="00BE1C69">
        <w:rPr>
          <w:rFonts w:ascii="Kohinoor Devanagari" w:hAnsi="Kohinoor Devanagari" w:cs="Kohinoor Devanagari"/>
          <w:sz w:val="22"/>
          <w:szCs w:val="22"/>
          <w:lang w:eastAsia="en-GB"/>
        </w:rPr>
        <w:t xml:space="preserve">Regulatory authorities will be responsible for </w:t>
      </w:r>
      <w:r w:rsidRPr="00BE1C69">
        <w:rPr>
          <w:rFonts w:ascii="Kohinoor Devanagari" w:hAnsi="Kohinoor Devanagari" w:cs="Kohinoor Devanagari"/>
          <w:b/>
          <w:bCs/>
          <w:sz w:val="22"/>
          <w:szCs w:val="22"/>
          <w:lang w:eastAsia="en-GB"/>
        </w:rPr>
        <w:t>ensuring compliance</w:t>
      </w:r>
      <w:r w:rsidRPr="00BE1C69">
        <w:rPr>
          <w:rFonts w:ascii="Kohinoor Devanagari" w:hAnsi="Kohinoor Devanagari" w:cs="Kohinoor Devanagari"/>
          <w:sz w:val="22"/>
          <w:szCs w:val="22"/>
          <w:lang w:eastAsia="en-GB"/>
        </w:rPr>
        <w:t>, intervening in cases of non-disclosure, and imposing sanctions where necessary.</w:t>
      </w:r>
    </w:p>
    <w:p w14:paraId="250AE8FE" w14:textId="4AC6937E" w:rsidR="00A01791" w:rsidRPr="00A3573B" w:rsidRDefault="00B24110" w:rsidP="008568EE">
      <w:pPr>
        <w:pStyle w:val="Heading3"/>
        <w:numPr>
          <w:ilvl w:val="2"/>
          <w:numId w:val="101"/>
        </w:numPr>
        <w:spacing w:before="120" w:after="120" w:line="240" w:lineRule="auto"/>
        <w:jc w:val="both"/>
        <w:rPr>
          <w:rFonts w:ascii="Kohinoor Devanagari" w:hAnsi="Kohinoor Devanagari" w:cs="Kohinoor Devanagari"/>
          <w:b/>
          <w:bCs/>
          <w:sz w:val="22"/>
          <w:szCs w:val="22"/>
          <w:lang w:eastAsia="en-GB"/>
        </w:rPr>
      </w:pPr>
      <w:r>
        <w:rPr>
          <w:rFonts w:ascii="Kohinoor Devanagari" w:hAnsi="Kohinoor Devanagari" w:cs="Kohinoor Devanagari"/>
          <w:b/>
          <w:bCs/>
          <w:sz w:val="22"/>
          <w:szCs w:val="22"/>
          <w:lang w:eastAsia="en-GB"/>
        </w:rPr>
        <w:t>Role and responsibility</w:t>
      </w:r>
      <w:r w:rsidR="00CD1AFB">
        <w:rPr>
          <w:rFonts w:ascii="Kohinoor Devanagari" w:hAnsi="Kohinoor Devanagari" w:cs="Kohinoor Devanagari"/>
          <w:b/>
          <w:bCs/>
          <w:sz w:val="22"/>
          <w:szCs w:val="22"/>
          <w:lang w:eastAsia="en-GB"/>
        </w:rPr>
        <w:t xml:space="preserve"> of public administrations</w:t>
      </w:r>
    </w:p>
    <w:p w14:paraId="7BAA9187" w14:textId="77777777" w:rsidR="00A55C37" w:rsidRPr="00BE1C69" w:rsidRDefault="00A55C37" w:rsidP="00A55C37">
      <w:pPr>
        <w:spacing w:before="120" w:after="120" w:line="240" w:lineRule="auto"/>
        <w:jc w:val="both"/>
        <w:rPr>
          <w:rFonts w:ascii="Kohinoor Devanagari" w:hAnsi="Kohinoor Devanagari" w:cs="Kohinoor Devanagari"/>
          <w:sz w:val="22"/>
          <w:szCs w:val="22"/>
          <w:lang w:eastAsia="en-GB"/>
        </w:rPr>
      </w:pPr>
      <w:r w:rsidRPr="00BE1C69">
        <w:rPr>
          <w:rFonts w:ascii="Kohinoor Devanagari" w:hAnsi="Kohinoor Devanagari" w:cs="Kohinoor Devanagari"/>
          <w:sz w:val="22"/>
          <w:szCs w:val="22"/>
          <w:lang w:eastAsia="en-GB"/>
        </w:rPr>
        <w:t>Public institutions must proactively ensure timely, accurate, and accessible disclosure of extractive sector data by:</w:t>
      </w:r>
    </w:p>
    <w:p w14:paraId="02D40501" w14:textId="77777777" w:rsidR="00A55C37" w:rsidRPr="00BE1C69" w:rsidRDefault="00A55C37" w:rsidP="00BE1C69">
      <w:pPr>
        <w:pStyle w:val="ListParagraph"/>
        <w:numPr>
          <w:ilvl w:val="0"/>
          <w:numId w:val="85"/>
        </w:numPr>
        <w:spacing w:before="120" w:after="120" w:line="240" w:lineRule="auto"/>
        <w:jc w:val="both"/>
        <w:rPr>
          <w:rFonts w:ascii="Kohinoor Devanagari" w:hAnsi="Kohinoor Devanagari" w:cs="Kohinoor Devanagari"/>
          <w:sz w:val="22"/>
          <w:szCs w:val="22"/>
          <w:lang w:eastAsia="en-GB"/>
        </w:rPr>
      </w:pPr>
      <w:r w:rsidRPr="00BE1C69">
        <w:rPr>
          <w:rFonts w:ascii="Kohinoor Devanagari" w:hAnsi="Kohinoor Devanagari" w:cs="Kohinoor Devanagari"/>
          <w:b/>
          <w:bCs/>
          <w:sz w:val="22"/>
          <w:szCs w:val="22"/>
          <w:lang w:eastAsia="en-GB"/>
        </w:rPr>
        <w:t>Publishing key extractive sector data in open formats</w:t>
      </w:r>
      <w:r w:rsidRPr="00BE1C69">
        <w:rPr>
          <w:rFonts w:ascii="Kohinoor Devanagari" w:hAnsi="Kohinoor Devanagari" w:cs="Kohinoor Devanagari"/>
          <w:sz w:val="22"/>
          <w:szCs w:val="22"/>
          <w:lang w:eastAsia="en-GB"/>
        </w:rPr>
        <w:t>, including financial reports, licensing information, and production statistics.</w:t>
      </w:r>
    </w:p>
    <w:p w14:paraId="4D7CC48B" w14:textId="77777777" w:rsidR="00A55C37" w:rsidRPr="00BE1C69" w:rsidRDefault="00A55C37" w:rsidP="00BE1C69">
      <w:pPr>
        <w:pStyle w:val="ListParagraph"/>
        <w:numPr>
          <w:ilvl w:val="0"/>
          <w:numId w:val="85"/>
        </w:numPr>
        <w:spacing w:before="120" w:after="120" w:line="240" w:lineRule="auto"/>
        <w:jc w:val="both"/>
        <w:rPr>
          <w:rFonts w:ascii="Kohinoor Devanagari" w:hAnsi="Kohinoor Devanagari" w:cs="Kohinoor Devanagari"/>
          <w:sz w:val="22"/>
          <w:szCs w:val="22"/>
          <w:lang w:eastAsia="en-GB"/>
        </w:rPr>
      </w:pPr>
      <w:r w:rsidRPr="00BE1C69">
        <w:rPr>
          <w:rFonts w:ascii="Kohinoor Devanagari" w:hAnsi="Kohinoor Devanagari" w:cs="Kohinoor Devanagari"/>
          <w:b/>
          <w:bCs/>
          <w:sz w:val="22"/>
          <w:szCs w:val="22"/>
          <w:lang w:eastAsia="en-GB"/>
        </w:rPr>
        <w:t>Processing data requests</w:t>
      </w:r>
      <w:r w:rsidRPr="00BE1C69">
        <w:rPr>
          <w:rFonts w:ascii="Kohinoor Devanagari" w:hAnsi="Kohinoor Devanagari" w:cs="Kohinoor Devanagari"/>
          <w:sz w:val="22"/>
          <w:szCs w:val="22"/>
          <w:lang w:eastAsia="en-GB"/>
        </w:rPr>
        <w:t xml:space="preserve"> within a defined timeframe to enhance transparency and accessibility.</w:t>
      </w:r>
    </w:p>
    <w:p w14:paraId="5C3839DE" w14:textId="1ED64DED" w:rsidR="00A55C37" w:rsidRPr="00BE1C69" w:rsidRDefault="00A55C37" w:rsidP="00BE1C69">
      <w:pPr>
        <w:pStyle w:val="ListParagraph"/>
        <w:numPr>
          <w:ilvl w:val="0"/>
          <w:numId w:val="85"/>
        </w:numPr>
        <w:spacing w:before="120" w:after="120" w:line="240" w:lineRule="auto"/>
        <w:jc w:val="both"/>
        <w:rPr>
          <w:rFonts w:ascii="Kohinoor Devanagari" w:hAnsi="Kohinoor Devanagari" w:cs="Kohinoor Devanagari"/>
          <w:sz w:val="22"/>
          <w:szCs w:val="22"/>
          <w:lang w:eastAsia="en-GB"/>
        </w:rPr>
      </w:pPr>
      <w:r w:rsidRPr="00BE1C69">
        <w:rPr>
          <w:rFonts w:ascii="Kohinoor Devanagari" w:hAnsi="Kohinoor Devanagari" w:cs="Kohinoor Devanagari"/>
          <w:b/>
          <w:bCs/>
          <w:sz w:val="22"/>
          <w:szCs w:val="22"/>
          <w:lang w:eastAsia="en-GB"/>
        </w:rPr>
        <w:t>Ensuring compliance with disclosure obligations</w:t>
      </w:r>
      <w:r w:rsidRPr="00BE1C69">
        <w:rPr>
          <w:rFonts w:ascii="Kohinoor Devanagari" w:hAnsi="Kohinoor Devanagari" w:cs="Kohinoor Devanagari"/>
          <w:sz w:val="22"/>
          <w:szCs w:val="22"/>
          <w:lang w:eastAsia="en-GB"/>
        </w:rPr>
        <w:t>, with regulatory authorities monitoring and imposing sanctions for non-disclosure.</w:t>
      </w:r>
    </w:p>
    <w:p w14:paraId="599DD12B" w14:textId="557EE2D0" w:rsidR="00A55C37" w:rsidRPr="00BE1C69" w:rsidRDefault="00A55C37" w:rsidP="00BE1C69">
      <w:pPr>
        <w:pStyle w:val="ListParagraph"/>
        <w:numPr>
          <w:ilvl w:val="0"/>
          <w:numId w:val="85"/>
        </w:numPr>
        <w:spacing w:before="120" w:after="120" w:line="240" w:lineRule="auto"/>
        <w:jc w:val="both"/>
        <w:rPr>
          <w:rFonts w:ascii="Kohinoor Devanagari" w:hAnsi="Kohinoor Devanagari" w:cs="Kohinoor Devanagari"/>
          <w:sz w:val="22"/>
          <w:szCs w:val="22"/>
          <w:lang w:eastAsia="en-GB"/>
        </w:rPr>
      </w:pPr>
      <w:r w:rsidRPr="00BE1C69">
        <w:rPr>
          <w:rFonts w:ascii="Kohinoor Devanagari" w:hAnsi="Kohinoor Devanagari" w:cs="Kohinoor Devanagari"/>
          <w:b/>
          <w:bCs/>
          <w:sz w:val="22"/>
          <w:szCs w:val="22"/>
          <w:lang w:eastAsia="en-GB"/>
        </w:rPr>
        <w:t>Maintaining disclosure as the default rule</w:t>
      </w:r>
      <w:r w:rsidRPr="00BE1C69">
        <w:rPr>
          <w:rFonts w:ascii="Kohinoor Devanagari" w:hAnsi="Kohinoor Devanagari" w:cs="Kohinoor Devanagari"/>
          <w:sz w:val="22"/>
          <w:szCs w:val="22"/>
          <w:lang w:eastAsia="en-GB"/>
        </w:rPr>
        <w:t>, ensuring public access to extractive sector data, with restrictions only in exceptional and legally justified cases.</w:t>
      </w:r>
    </w:p>
    <w:p w14:paraId="28351685" w14:textId="66BBC166" w:rsidR="00836BF0" w:rsidRPr="00A3573B" w:rsidRDefault="00836BF0" w:rsidP="008568EE">
      <w:pPr>
        <w:pStyle w:val="Heading3"/>
        <w:numPr>
          <w:ilvl w:val="2"/>
          <w:numId w:val="101"/>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 xml:space="preserve">Institutional Support </w:t>
      </w:r>
    </w:p>
    <w:p w14:paraId="303746E0" w14:textId="77777777" w:rsidR="00585957" w:rsidRPr="00BE1C69" w:rsidRDefault="00585957" w:rsidP="00585957">
      <w:pPr>
        <w:spacing w:before="120" w:after="120"/>
        <w:jc w:val="both"/>
        <w:rPr>
          <w:rFonts w:ascii="Kohinoor Devanagari" w:hAnsi="Kohinoor Devanagari" w:cs="Kohinoor Devanagari"/>
          <w:sz w:val="22"/>
          <w:szCs w:val="22"/>
          <w:lang w:eastAsia="en-GB"/>
        </w:rPr>
      </w:pPr>
      <w:r w:rsidRPr="00BE1C69">
        <w:rPr>
          <w:rFonts w:ascii="Kohinoor Devanagari" w:hAnsi="Kohinoor Devanagari" w:cs="Kohinoor Devanagari"/>
          <w:sz w:val="22"/>
          <w:szCs w:val="22"/>
          <w:lang w:eastAsia="en-GB"/>
        </w:rPr>
        <w:t>To facilitate effective implementation, the Iraqi Government designates the following institutions to support systematic disclosure:</w:t>
      </w:r>
    </w:p>
    <w:p w14:paraId="53A6D504" w14:textId="77777777" w:rsidR="00585957" w:rsidRPr="00BE1C69" w:rsidRDefault="00585957" w:rsidP="00585957">
      <w:pPr>
        <w:numPr>
          <w:ilvl w:val="0"/>
          <w:numId w:val="86"/>
        </w:numPr>
        <w:spacing w:before="120" w:after="120"/>
        <w:jc w:val="both"/>
        <w:rPr>
          <w:rFonts w:ascii="Kohinoor Devanagari" w:hAnsi="Kohinoor Devanagari" w:cs="Kohinoor Devanagari"/>
          <w:sz w:val="22"/>
          <w:szCs w:val="22"/>
          <w:lang w:eastAsia="en-GB"/>
        </w:rPr>
      </w:pPr>
      <w:r w:rsidRPr="00BE1C69">
        <w:rPr>
          <w:rFonts w:ascii="Kohinoor Devanagari" w:hAnsi="Kohinoor Devanagari" w:cs="Kohinoor Devanagari"/>
          <w:b/>
          <w:bCs/>
          <w:sz w:val="22"/>
          <w:szCs w:val="22"/>
          <w:lang w:eastAsia="en-GB"/>
        </w:rPr>
        <w:t>COMSEC:</w:t>
      </w:r>
      <w:r w:rsidRPr="00BE1C69">
        <w:rPr>
          <w:rFonts w:ascii="Kohinoor Devanagari" w:hAnsi="Kohinoor Devanagari" w:cs="Kohinoor Devanagari"/>
          <w:sz w:val="22"/>
          <w:szCs w:val="22"/>
          <w:lang w:eastAsia="en-GB"/>
        </w:rPr>
        <w:t xml:space="preserve"> Leading high-level oversight and ensuring transparency integration into governance strategies.</w:t>
      </w:r>
    </w:p>
    <w:p w14:paraId="4246EBE5" w14:textId="77777777" w:rsidR="00585957" w:rsidRPr="00BE1C69" w:rsidRDefault="00585957" w:rsidP="00585957">
      <w:pPr>
        <w:numPr>
          <w:ilvl w:val="0"/>
          <w:numId w:val="86"/>
        </w:numPr>
        <w:spacing w:before="120" w:after="120"/>
        <w:jc w:val="both"/>
        <w:rPr>
          <w:rFonts w:ascii="Kohinoor Devanagari" w:hAnsi="Kohinoor Devanagari" w:cs="Kohinoor Devanagari"/>
          <w:sz w:val="22"/>
          <w:szCs w:val="22"/>
          <w:lang w:eastAsia="en-GB"/>
        </w:rPr>
      </w:pPr>
      <w:r w:rsidRPr="00BE1C69">
        <w:rPr>
          <w:rFonts w:ascii="Kohinoor Devanagari" w:hAnsi="Kohinoor Devanagari" w:cs="Kohinoor Devanagari"/>
          <w:b/>
          <w:bCs/>
          <w:sz w:val="22"/>
          <w:szCs w:val="22"/>
          <w:lang w:eastAsia="en-GB"/>
        </w:rPr>
        <w:t>Ministry of Oil &amp; Ministry of Industry and Minerals:</w:t>
      </w:r>
      <w:r w:rsidRPr="00BE1C69">
        <w:rPr>
          <w:rFonts w:ascii="Kohinoor Devanagari" w:hAnsi="Kohinoor Devanagari" w:cs="Kohinoor Devanagari"/>
          <w:sz w:val="22"/>
          <w:szCs w:val="22"/>
          <w:lang w:eastAsia="en-GB"/>
        </w:rPr>
        <w:t xml:space="preserve"> Regulating the extractive sector, overseeing licensing, and ensuring the publication of real-time production and contract data.</w:t>
      </w:r>
    </w:p>
    <w:p w14:paraId="35D48A2E" w14:textId="77777777" w:rsidR="00585957" w:rsidRPr="0093551D" w:rsidRDefault="00585957" w:rsidP="00585957">
      <w:pPr>
        <w:numPr>
          <w:ilvl w:val="0"/>
          <w:numId w:val="86"/>
        </w:numPr>
        <w:spacing w:before="120" w:after="120"/>
        <w:jc w:val="both"/>
        <w:rPr>
          <w:rFonts w:ascii="Kohinoor Devanagari" w:hAnsi="Kohinoor Devanagari" w:cs="Kohinoor Devanagari"/>
          <w:sz w:val="22"/>
          <w:szCs w:val="22"/>
          <w:lang w:eastAsia="en-GB"/>
        </w:rPr>
      </w:pPr>
      <w:r w:rsidRPr="00BE1C69">
        <w:rPr>
          <w:rFonts w:ascii="Kohinoor Devanagari" w:hAnsi="Kohinoor Devanagari" w:cs="Kohinoor Devanagari"/>
          <w:b/>
          <w:bCs/>
          <w:sz w:val="22"/>
          <w:szCs w:val="22"/>
          <w:lang w:eastAsia="en-GB"/>
        </w:rPr>
        <w:t>Ministry of Finance &amp; Central Bank of Iraq (CBI):</w:t>
      </w:r>
      <w:r w:rsidRPr="00BE1C69">
        <w:rPr>
          <w:rFonts w:ascii="Kohinoor Devanagari" w:hAnsi="Kohinoor Devanagari" w:cs="Kohinoor Devanagari"/>
          <w:sz w:val="22"/>
          <w:szCs w:val="22"/>
          <w:lang w:eastAsia="en-GB"/>
        </w:rPr>
        <w:t xml:space="preserve"> Managing oil revenues, financial reporting, and ensuring full disclosure of crude oil sales and revenue flows.</w:t>
      </w:r>
    </w:p>
    <w:p w14:paraId="0186971D" w14:textId="2402BEE2" w:rsidR="0093551D" w:rsidRPr="00BE1C69" w:rsidRDefault="0093551D" w:rsidP="0093551D">
      <w:pPr>
        <w:numPr>
          <w:ilvl w:val="0"/>
          <w:numId w:val="86"/>
        </w:numPr>
        <w:spacing w:before="120" w:after="120"/>
        <w:jc w:val="both"/>
        <w:rPr>
          <w:rFonts w:ascii="Kohinoor Devanagari" w:hAnsi="Kohinoor Devanagari" w:cs="Kohinoor Devanagari"/>
          <w:sz w:val="22"/>
          <w:szCs w:val="22"/>
          <w:lang w:eastAsia="en-GB"/>
        </w:rPr>
      </w:pPr>
      <w:r w:rsidRPr="0093551D">
        <w:rPr>
          <w:rFonts w:ascii="Kohinoor Devanagari" w:hAnsi="Kohinoor Devanagari" w:cs="Kohinoor Devanagari"/>
          <w:b/>
          <w:bCs/>
          <w:sz w:val="22"/>
          <w:szCs w:val="22"/>
          <w:lang w:eastAsia="en-GB"/>
        </w:rPr>
        <w:t>Ministry of Trade:</w:t>
      </w:r>
      <w:r w:rsidRPr="0093551D">
        <w:rPr>
          <w:rFonts w:ascii="Kohinoor Devanagari" w:hAnsi="Kohinoor Devanagari" w:cs="Kohinoor Devanagari"/>
          <w:sz w:val="22"/>
          <w:szCs w:val="22"/>
          <w:lang w:eastAsia="en-GB"/>
        </w:rPr>
        <w:t xml:space="preserve"> Overseeing </w:t>
      </w:r>
      <w:r w:rsidRPr="00BE1C69">
        <w:rPr>
          <w:rFonts w:ascii="Kohinoor Devanagari" w:hAnsi="Kohinoor Devanagari" w:cs="Kohinoor Devanagari"/>
          <w:sz w:val="22"/>
          <w:szCs w:val="22"/>
          <w:lang w:eastAsia="en-GB"/>
        </w:rPr>
        <w:t>legal ownership structures and beneficial ownership disclosures</w:t>
      </w:r>
      <w:r w:rsidRPr="0093551D">
        <w:rPr>
          <w:rFonts w:ascii="Kohinoor Devanagari" w:hAnsi="Kohinoor Devanagari" w:cs="Kohinoor Devanagari"/>
          <w:sz w:val="22"/>
          <w:szCs w:val="22"/>
          <w:lang w:eastAsia="en-GB"/>
        </w:rPr>
        <w:t>, ensuring transparency in company ownership in line with EITI standards.</w:t>
      </w:r>
    </w:p>
    <w:p w14:paraId="35C5E652" w14:textId="77777777" w:rsidR="00585957" w:rsidRPr="00BE1C69" w:rsidRDefault="00585957" w:rsidP="00585957">
      <w:pPr>
        <w:numPr>
          <w:ilvl w:val="0"/>
          <w:numId w:val="86"/>
        </w:numPr>
        <w:spacing w:before="120" w:after="120"/>
        <w:jc w:val="both"/>
        <w:rPr>
          <w:rFonts w:ascii="Kohinoor Devanagari" w:hAnsi="Kohinoor Devanagari" w:cs="Kohinoor Devanagari"/>
          <w:sz w:val="22"/>
          <w:szCs w:val="22"/>
          <w:lang w:eastAsia="en-GB"/>
        </w:rPr>
      </w:pPr>
      <w:r w:rsidRPr="00BE1C69">
        <w:rPr>
          <w:rFonts w:ascii="Kohinoor Devanagari" w:hAnsi="Kohinoor Devanagari" w:cs="Kohinoor Devanagari"/>
          <w:b/>
          <w:bCs/>
          <w:sz w:val="22"/>
          <w:szCs w:val="22"/>
          <w:lang w:eastAsia="en-GB"/>
        </w:rPr>
        <w:t>State-Owned Enterprises (SOEs):</w:t>
      </w:r>
      <w:r w:rsidRPr="00BE1C69">
        <w:rPr>
          <w:rFonts w:ascii="Kohinoor Devanagari" w:hAnsi="Kohinoor Devanagari" w:cs="Kohinoor Devanagari"/>
          <w:sz w:val="22"/>
          <w:szCs w:val="22"/>
          <w:lang w:eastAsia="en-GB"/>
        </w:rPr>
        <w:t xml:space="preserve"> Publishing detailed financial and operational data, including crude oil sales, contract execution, and revenue transfers.</w:t>
      </w:r>
    </w:p>
    <w:p w14:paraId="1A5ACE2A" w14:textId="77777777" w:rsidR="00585957" w:rsidRPr="00BE1C69" w:rsidRDefault="00585957" w:rsidP="00585957">
      <w:pPr>
        <w:numPr>
          <w:ilvl w:val="0"/>
          <w:numId w:val="86"/>
        </w:numPr>
        <w:spacing w:before="120" w:after="120"/>
        <w:jc w:val="both"/>
        <w:rPr>
          <w:rFonts w:ascii="Kohinoor Devanagari" w:hAnsi="Kohinoor Devanagari" w:cs="Kohinoor Devanagari"/>
          <w:sz w:val="22"/>
          <w:szCs w:val="22"/>
          <w:lang w:eastAsia="en-GB"/>
        </w:rPr>
      </w:pPr>
      <w:r w:rsidRPr="00BE1C69">
        <w:rPr>
          <w:rFonts w:ascii="Kohinoor Devanagari" w:hAnsi="Kohinoor Devanagari" w:cs="Kohinoor Devanagari"/>
          <w:b/>
          <w:bCs/>
          <w:sz w:val="22"/>
          <w:szCs w:val="22"/>
          <w:lang w:eastAsia="en-GB"/>
        </w:rPr>
        <w:t>Ministry of Environment:</w:t>
      </w:r>
      <w:r w:rsidRPr="00BE1C69">
        <w:rPr>
          <w:rFonts w:ascii="Kohinoor Devanagari" w:hAnsi="Kohinoor Devanagari" w:cs="Kohinoor Devanagari"/>
          <w:sz w:val="22"/>
          <w:szCs w:val="22"/>
          <w:lang w:eastAsia="en-GB"/>
        </w:rPr>
        <w:t xml:space="preserve"> Ensuring systematic disclosure of environmental impact assessments (EIAs), emissions data, and sustainability reports related to extractive activities.</w:t>
      </w:r>
    </w:p>
    <w:p w14:paraId="28A3E5F8" w14:textId="77777777" w:rsidR="00585957" w:rsidRPr="00BE1C69" w:rsidRDefault="00585957" w:rsidP="00585957">
      <w:pPr>
        <w:numPr>
          <w:ilvl w:val="0"/>
          <w:numId w:val="86"/>
        </w:numPr>
        <w:spacing w:before="120" w:after="120"/>
        <w:jc w:val="both"/>
        <w:rPr>
          <w:rFonts w:ascii="Kohinoor Devanagari" w:hAnsi="Kohinoor Devanagari" w:cs="Kohinoor Devanagari"/>
          <w:sz w:val="22"/>
          <w:szCs w:val="22"/>
          <w:lang w:eastAsia="en-GB"/>
        </w:rPr>
      </w:pPr>
      <w:r w:rsidRPr="00BE1C69">
        <w:rPr>
          <w:rFonts w:ascii="Kohinoor Devanagari" w:hAnsi="Kohinoor Devanagari" w:cs="Kohinoor Devanagari"/>
          <w:b/>
          <w:bCs/>
          <w:sz w:val="22"/>
          <w:szCs w:val="22"/>
          <w:lang w:eastAsia="en-GB"/>
        </w:rPr>
        <w:t>E-Government Steering Committee &amp; National Data Center:</w:t>
      </w:r>
      <w:r w:rsidRPr="00BE1C69">
        <w:rPr>
          <w:rFonts w:ascii="Kohinoor Devanagari" w:hAnsi="Kohinoor Devanagari" w:cs="Kohinoor Devanagari"/>
          <w:sz w:val="22"/>
          <w:szCs w:val="22"/>
          <w:lang w:eastAsia="en-GB"/>
        </w:rPr>
        <w:t xml:space="preserve"> Providing the digital infrastructure for systematic disclosure, ensuring that extractive sector data is secure, accessible, and interoperable.</w:t>
      </w:r>
    </w:p>
    <w:p w14:paraId="3100BA86" w14:textId="77777777" w:rsidR="00F47005" w:rsidRDefault="00F47005">
      <w:pPr>
        <w:rPr>
          <w:rFonts w:ascii="Kohinoor Devanagari" w:eastAsiaTheme="majorEastAsia" w:hAnsi="Kohinoor Devanagari" w:cs="Kohinoor Devanagari"/>
          <w:b/>
          <w:bCs/>
          <w:color w:val="0F4761" w:themeColor="accent1" w:themeShade="BF"/>
          <w:sz w:val="22"/>
          <w:szCs w:val="22"/>
          <w:lang w:eastAsia="en-GB"/>
        </w:rPr>
      </w:pPr>
      <w:r>
        <w:rPr>
          <w:rFonts w:ascii="Kohinoor Devanagari" w:hAnsi="Kohinoor Devanagari" w:cs="Kohinoor Devanagari"/>
          <w:b/>
          <w:bCs/>
          <w:sz w:val="22"/>
          <w:szCs w:val="22"/>
          <w:lang w:eastAsia="en-GB"/>
        </w:rPr>
        <w:br w:type="page"/>
      </w:r>
    </w:p>
    <w:p w14:paraId="5AC26F70" w14:textId="77C739C9" w:rsidR="00B109C3" w:rsidRPr="00A3573B" w:rsidRDefault="00B109C3" w:rsidP="008568EE">
      <w:pPr>
        <w:pStyle w:val="Heading3"/>
        <w:numPr>
          <w:ilvl w:val="2"/>
          <w:numId w:val="101"/>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Compliance and Sanctions</w:t>
      </w:r>
    </w:p>
    <w:p w14:paraId="05A11064" w14:textId="78896F32" w:rsidR="00AA3E3D" w:rsidRPr="00BE1C69" w:rsidRDefault="00AA3E3D" w:rsidP="00AA3E3D">
      <w:pPr>
        <w:spacing w:before="120" w:after="120" w:line="240" w:lineRule="auto"/>
        <w:jc w:val="both"/>
        <w:rPr>
          <w:rFonts w:ascii="Kohinoor Devanagari" w:hAnsi="Kohinoor Devanagari" w:cs="Kohinoor Devanagari"/>
          <w:sz w:val="22"/>
          <w:szCs w:val="22"/>
          <w:lang w:eastAsia="en-GB"/>
        </w:rPr>
      </w:pPr>
      <w:r w:rsidRPr="00BE1C69">
        <w:rPr>
          <w:rFonts w:ascii="Kohinoor Devanagari" w:hAnsi="Kohinoor Devanagari" w:cs="Kohinoor Devanagari"/>
          <w:b/>
          <w:bCs/>
          <w:sz w:val="22"/>
          <w:szCs w:val="22"/>
          <w:lang w:eastAsia="en-GB"/>
        </w:rPr>
        <w:t xml:space="preserve">Immediate Obligation to Disclose: </w:t>
      </w:r>
      <w:r w:rsidRPr="00BE1C69">
        <w:rPr>
          <w:rFonts w:ascii="Kohinoor Devanagari" w:hAnsi="Kohinoor Devanagari" w:cs="Kohinoor Devanagari"/>
          <w:sz w:val="22"/>
          <w:szCs w:val="22"/>
          <w:lang w:eastAsia="en-GB"/>
        </w:rPr>
        <w:t xml:space="preserve">All covered entities must immediately integrate systematic disclosure into their regular reporting processes. </w:t>
      </w:r>
    </w:p>
    <w:p w14:paraId="0EFE8FEB" w14:textId="3DE7B507" w:rsidR="00AA3E3D" w:rsidRDefault="00AA3E3D" w:rsidP="00AA3E3D">
      <w:pPr>
        <w:spacing w:before="120" w:after="120" w:line="240" w:lineRule="auto"/>
        <w:jc w:val="both"/>
        <w:rPr>
          <w:rFonts w:ascii="Kohinoor Devanagari" w:hAnsi="Kohinoor Devanagari" w:cs="Kohinoor Devanagari"/>
          <w:sz w:val="22"/>
          <w:szCs w:val="22"/>
          <w:lang w:eastAsia="en-GB"/>
        </w:rPr>
      </w:pPr>
      <w:r w:rsidRPr="00BE1C69">
        <w:rPr>
          <w:rFonts w:ascii="Kohinoor Devanagari" w:hAnsi="Kohinoor Devanagari" w:cs="Kohinoor Devanagari"/>
          <w:b/>
          <w:bCs/>
          <w:sz w:val="22"/>
          <w:szCs w:val="22"/>
          <w:lang w:eastAsia="en-GB"/>
        </w:rPr>
        <w:t xml:space="preserve">Sanctions for Non-Compliance: </w:t>
      </w:r>
      <w:r w:rsidRPr="00BE1C69">
        <w:rPr>
          <w:rFonts w:ascii="Kohinoor Devanagari" w:hAnsi="Kohinoor Devanagari" w:cs="Kohinoor Devanagari"/>
          <w:sz w:val="22"/>
          <w:szCs w:val="22"/>
          <w:lang w:eastAsia="en-GB"/>
        </w:rPr>
        <w:t xml:space="preserve">Entities that fail to comply will face corrective actions, administrative measures, and public reporting of violations. </w:t>
      </w:r>
    </w:p>
    <w:p w14:paraId="5842728B" w14:textId="6C13C5F0" w:rsidR="006C74AD" w:rsidRPr="004B2C0C" w:rsidRDefault="006C74AD" w:rsidP="006C74AD">
      <w:pPr>
        <w:spacing w:before="120" w:after="120" w:line="240" w:lineRule="auto"/>
        <w:jc w:val="both"/>
        <w:rPr>
          <w:rFonts w:ascii="Kohinoor Devanagari" w:hAnsi="Kohinoor Devanagari" w:cs="Kohinoor Devanagari"/>
          <w:sz w:val="22"/>
          <w:szCs w:val="22"/>
          <w:lang w:eastAsia="en-GB"/>
        </w:rPr>
      </w:pPr>
      <w:r w:rsidRPr="004B2C0C">
        <w:rPr>
          <w:rFonts w:ascii="Kohinoor Devanagari" w:hAnsi="Kohinoor Devanagari" w:cs="Kohinoor Devanagari"/>
          <w:b/>
          <w:bCs/>
          <w:sz w:val="22"/>
          <w:szCs w:val="22"/>
          <w:lang w:eastAsia="en-GB"/>
        </w:rPr>
        <w:t xml:space="preserve">Quality Assurance: </w:t>
      </w:r>
      <w:r w:rsidRPr="004B2C0C">
        <w:rPr>
          <w:rFonts w:ascii="Kohinoor Devanagari" w:hAnsi="Kohinoor Devanagari" w:cs="Kohinoor Devanagari"/>
          <w:sz w:val="22"/>
          <w:szCs w:val="22"/>
          <w:lang w:eastAsia="en-GB"/>
        </w:rPr>
        <w:t>Reporting entities must follow robust audit and quality assurance procedures to ensure data accuracy and reliability.</w:t>
      </w:r>
    </w:p>
    <w:p w14:paraId="0831314A" w14:textId="3E5768C3" w:rsidR="006C74AD" w:rsidRPr="004B2C0C" w:rsidRDefault="006C74AD" w:rsidP="009918D2">
      <w:pPr>
        <w:spacing w:before="120" w:after="120" w:line="240" w:lineRule="auto"/>
        <w:jc w:val="both"/>
        <w:rPr>
          <w:rFonts w:ascii="Kohinoor Devanagari" w:hAnsi="Kohinoor Devanagari" w:cs="Kohinoor Devanagari"/>
          <w:sz w:val="22"/>
          <w:szCs w:val="22"/>
          <w:lang w:eastAsia="en-GB"/>
        </w:rPr>
      </w:pPr>
      <w:r w:rsidRPr="004B2C0C">
        <w:rPr>
          <w:rFonts w:ascii="Kohinoor Devanagari" w:hAnsi="Kohinoor Devanagari" w:cs="Kohinoor Devanagari"/>
          <w:b/>
          <w:bCs/>
          <w:sz w:val="22"/>
          <w:szCs w:val="22"/>
          <w:lang w:eastAsia="en-GB"/>
        </w:rPr>
        <w:t xml:space="preserve">Annual Compliance Assessments: </w:t>
      </w:r>
      <w:r w:rsidR="009918D2" w:rsidRPr="009918D2">
        <w:rPr>
          <w:rFonts w:ascii="Kohinoor Devanagari" w:hAnsi="Kohinoor Devanagari" w:cs="Kohinoor Devanagari"/>
          <w:sz w:val="22"/>
          <w:szCs w:val="22"/>
          <w:lang w:eastAsia="en-GB"/>
        </w:rPr>
        <w:t xml:space="preserve">Annual compliance checks will be conducted by the </w:t>
      </w:r>
      <w:r w:rsidR="009918D2" w:rsidRPr="004B2C0C">
        <w:rPr>
          <w:rFonts w:ascii="Kohinoor Devanagari" w:hAnsi="Kohinoor Devanagari" w:cs="Kohinoor Devanagari"/>
          <w:sz w:val="22"/>
          <w:szCs w:val="22"/>
          <w:lang w:eastAsia="en-GB"/>
        </w:rPr>
        <w:t>Federal Board of Supreme Audit (FBSA)</w:t>
      </w:r>
      <w:r w:rsidR="009918D2" w:rsidRPr="009918D2">
        <w:rPr>
          <w:rFonts w:ascii="Kohinoor Devanagari" w:hAnsi="Kohinoor Devanagari" w:cs="Kohinoor Devanagari"/>
          <w:sz w:val="22"/>
          <w:szCs w:val="22"/>
          <w:lang w:eastAsia="en-GB"/>
        </w:rPr>
        <w:t xml:space="preserve">, auditing in accordance with national regulations, and by the </w:t>
      </w:r>
      <w:r w:rsidR="009918D2" w:rsidRPr="004B2C0C">
        <w:rPr>
          <w:rFonts w:ascii="Kohinoor Devanagari" w:hAnsi="Kohinoor Devanagari" w:cs="Kohinoor Devanagari"/>
          <w:sz w:val="22"/>
          <w:szCs w:val="22"/>
          <w:lang w:eastAsia="en-GB"/>
        </w:rPr>
        <w:t>Independent Administrator</w:t>
      </w:r>
      <w:r w:rsidR="009918D2" w:rsidRPr="009918D2">
        <w:rPr>
          <w:rFonts w:ascii="Kohinoor Devanagari" w:hAnsi="Kohinoor Devanagari" w:cs="Kohinoor Devanagari"/>
          <w:sz w:val="22"/>
          <w:szCs w:val="22"/>
          <w:lang w:eastAsia="en-GB"/>
        </w:rPr>
        <w:t xml:space="preserve">, ensuring data transparency and compliance with </w:t>
      </w:r>
      <w:r w:rsidR="009918D2">
        <w:rPr>
          <w:rFonts w:ascii="Kohinoor Devanagari" w:hAnsi="Kohinoor Devanagari" w:cs="Kohinoor Devanagari"/>
          <w:sz w:val="22"/>
          <w:szCs w:val="22"/>
          <w:lang w:eastAsia="en-GB"/>
        </w:rPr>
        <w:t>EITI</w:t>
      </w:r>
      <w:r w:rsidR="009918D2" w:rsidRPr="009918D2">
        <w:rPr>
          <w:rFonts w:ascii="Kohinoor Devanagari" w:hAnsi="Kohinoor Devanagari" w:cs="Kohinoor Devanagari"/>
          <w:sz w:val="22"/>
          <w:szCs w:val="22"/>
          <w:lang w:eastAsia="en-GB"/>
        </w:rPr>
        <w:t xml:space="preserve"> standards and </w:t>
      </w:r>
      <w:r w:rsidR="009918D2">
        <w:rPr>
          <w:rFonts w:ascii="Kohinoor Devanagari" w:hAnsi="Kohinoor Devanagari" w:cs="Kohinoor Devanagari"/>
          <w:sz w:val="22"/>
          <w:szCs w:val="22"/>
          <w:lang w:eastAsia="en-GB"/>
        </w:rPr>
        <w:t>IE</w:t>
      </w:r>
      <w:r w:rsidR="00BA08A3">
        <w:rPr>
          <w:rFonts w:ascii="Kohinoor Devanagari" w:hAnsi="Kohinoor Devanagari" w:cs="Kohinoor Devanagari"/>
          <w:sz w:val="22"/>
          <w:szCs w:val="22"/>
          <w:lang w:eastAsia="en-GB"/>
        </w:rPr>
        <w:t xml:space="preserve">TI </w:t>
      </w:r>
      <w:r w:rsidR="009918D2" w:rsidRPr="009918D2">
        <w:rPr>
          <w:rFonts w:ascii="Kohinoor Devanagari" w:hAnsi="Kohinoor Devanagari" w:cs="Kohinoor Devanagari"/>
          <w:sz w:val="22"/>
          <w:szCs w:val="22"/>
          <w:lang w:eastAsia="en-GB"/>
        </w:rPr>
        <w:t>MSG-approved procedures.</w:t>
      </w:r>
    </w:p>
    <w:p w14:paraId="2145476C" w14:textId="2D83B9DD" w:rsidR="0008489A" w:rsidRPr="00A3573B" w:rsidRDefault="00371A46" w:rsidP="008568EE">
      <w:pPr>
        <w:pStyle w:val="Heading3"/>
        <w:numPr>
          <w:ilvl w:val="2"/>
          <w:numId w:val="101"/>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 xml:space="preserve">Data </w:t>
      </w:r>
      <w:r w:rsidR="0008489A" w:rsidRPr="00A3573B">
        <w:rPr>
          <w:rFonts w:ascii="Kohinoor Devanagari" w:hAnsi="Kohinoor Devanagari" w:cs="Kohinoor Devanagari"/>
          <w:b/>
          <w:bCs/>
          <w:sz w:val="22"/>
          <w:szCs w:val="22"/>
          <w:lang w:eastAsia="en-GB"/>
        </w:rPr>
        <w:t xml:space="preserve">Accessibility and Public </w:t>
      </w:r>
      <w:r w:rsidR="008073C8">
        <w:rPr>
          <w:rFonts w:ascii="Kohinoor Devanagari" w:hAnsi="Kohinoor Devanagari" w:cs="Kohinoor Devanagari"/>
          <w:b/>
          <w:bCs/>
          <w:sz w:val="22"/>
          <w:szCs w:val="22"/>
          <w:lang w:eastAsia="en-GB"/>
        </w:rPr>
        <w:t>Availability</w:t>
      </w:r>
    </w:p>
    <w:p w14:paraId="5347624E" w14:textId="77777777" w:rsidR="000E2BDE" w:rsidRPr="00BE1C69" w:rsidRDefault="000E2BDE" w:rsidP="000E2BDE">
      <w:pPr>
        <w:spacing w:before="120" w:after="120" w:line="240" w:lineRule="auto"/>
        <w:jc w:val="both"/>
        <w:rPr>
          <w:rFonts w:ascii="Kohinoor Devanagari" w:hAnsi="Kohinoor Devanagari" w:cs="Kohinoor Devanagari"/>
          <w:sz w:val="22"/>
          <w:szCs w:val="22"/>
          <w:lang w:eastAsia="en-GB"/>
        </w:rPr>
      </w:pPr>
      <w:r w:rsidRPr="00BE1C69">
        <w:rPr>
          <w:rFonts w:ascii="Kohinoor Devanagari" w:hAnsi="Kohinoor Devanagari" w:cs="Kohinoor Devanagari"/>
          <w:sz w:val="22"/>
          <w:szCs w:val="22"/>
          <w:lang w:eastAsia="en-GB"/>
        </w:rPr>
        <w:t>To ensure broad and easy access to extractive sector data, all disclosed information must be accessible through multiple channels:</w:t>
      </w:r>
    </w:p>
    <w:p w14:paraId="49FFCC93" w14:textId="60511FFE" w:rsidR="00DC0C56" w:rsidRPr="00C52386" w:rsidRDefault="00DC0C56" w:rsidP="00C52386">
      <w:pPr>
        <w:pStyle w:val="ListParagraph"/>
        <w:numPr>
          <w:ilvl w:val="0"/>
          <w:numId w:val="96"/>
        </w:numPr>
        <w:spacing w:before="120" w:after="120" w:line="240" w:lineRule="auto"/>
        <w:jc w:val="both"/>
        <w:rPr>
          <w:rFonts w:ascii="Kohinoor Devanagari" w:hAnsi="Kohinoor Devanagari" w:cs="Kohinoor Devanagari"/>
          <w:sz w:val="22"/>
          <w:szCs w:val="22"/>
          <w:lang w:eastAsia="en-GB"/>
        </w:rPr>
      </w:pPr>
      <w:r w:rsidRPr="00C52386">
        <w:rPr>
          <w:rFonts w:ascii="Kohinoor Devanagari" w:hAnsi="Kohinoor Devanagari" w:cs="Kohinoor Devanagari"/>
          <w:b/>
          <w:bCs/>
          <w:sz w:val="22"/>
          <w:szCs w:val="22"/>
          <w:lang w:eastAsia="en-GB"/>
        </w:rPr>
        <w:t>Entity Websites:</w:t>
      </w:r>
      <w:r w:rsidRPr="00C52386">
        <w:rPr>
          <w:rFonts w:ascii="Kohinoor Devanagari" w:hAnsi="Kohinoor Devanagari" w:cs="Kohinoor Devanagari"/>
          <w:sz w:val="22"/>
          <w:szCs w:val="22"/>
          <w:lang w:eastAsia="en-GB"/>
        </w:rPr>
        <w:t xml:space="preserve"> Each government entity and SOE must publish relevant extractive sector data on its official website. This ensures publication “at source,” reinforces institutional ownership, and facilitates timely updates.</w:t>
      </w:r>
    </w:p>
    <w:p w14:paraId="7557FDB0" w14:textId="675CE3CA" w:rsidR="00DC0C56" w:rsidRPr="00C52386" w:rsidRDefault="00DC0C56" w:rsidP="00C52386">
      <w:pPr>
        <w:pStyle w:val="ListParagraph"/>
        <w:numPr>
          <w:ilvl w:val="0"/>
          <w:numId w:val="96"/>
        </w:numPr>
        <w:spacing w:before="120" w:after="120" w:line="240" w:lineRule="auto"/>
        <w:jc w:val="both"/>
        <w:rPr>
          <w:rFonts w:ascii="Kohinoor Devanagari" w:hAnsi="Kohinoor Devanagari" w:cs="Kohinoor Devanagari"/>
          <w:sz w:val="22"/>
          <w:szCs w:val="22"/>
          <w:lang w:eastAsia="en-GB"/>
        </w:rPr>
      </w:pPr>
      <w:r w:rsidRPr="00C52386">
        <w:rPr>
          <w:rFonts w:ascii="Kohinoor Devanagari" w:hAnsi="Kohinoor Devanagari" w:cs="Kohinoor Devanagari"/>
          <w:b/>
          <w:bCs/>
          <w:sz w:val="22"/>
          <w:szCs w:val="22"/>
          <w:lang w:eastAsia="en-GB"/>
        </w:rPr>
        <w:t>IEITI Open Data Portal:</w:t>
      </w:r>
      <w:r w:rsidRPr="00C52386">
        <w:rPr>
          <w:rFonts w:ascii="Kohinoor Devanagari" w:hAnsi="Kohinoor Devanagari" w:cs="Kohinoor Devanagari"/>
          <w:sz w:val="22"/>
          <w:szCs w:val="22"/>
          <w:lang w:eastAsia="en-GB"/>
        </w:rPr>
        <w:t xml:space="preserve"> The centralized IEITI platform will serve as a secondary channel to aggregate and standardize access to disclosed data, allowing users to consult and compare information across institutions.</w:t>
      </w:r>
    </w:p>
    <w:p w14:paraId="12F00CCB" w14:textId="77777777" w:rsidR="000E2BDE" w:rsidRPr="00BE1C69" w:rsidRDefault="000E2BDE" w:rsidP="000E2BDE">
      <w:pPr>
        <w:numPr>
          <w:ilvl w:val="0"/>
          <w:numId w:val="81"/>
        </w:numPr>
        <w:spacing w:before="120" w:after="120" w:line="240" w:lineRule="auto"/>
        <w:jc w:val="both"/>
        <w:rPr>
          <w:rFonts w:ascii="Kohinoor Devanagari" w:hAnsi="Kohinoor Devanagari" w:cs="Kohinoor Devanagari"/>
          <w:sz w:val="22"/>
          <w:szCs w:val="22"/>
          <w:lang w:eastAsia="en-GB"/>
        </w:rPr>
      </w:pPr>
      <w:r w:rsidRPr="00BE1C69">
        <w:rPr>
          <w:rFonts w:ascii="Kohinoor Devanagari" w:hAnsi="Kohinoor Devanagari" w:cs="Kohinoor Devanagari"/>
          <w:b/>
          <w:bCs/>
          <w:sz w:val="22"/>
          <w:szCs w:val="22"/>
          <w:lang w:eastAsia="en-GB"/>
        </w:rPr>
        <w:t>Open Formats:</w:t>
      </w:r>
      <w:r w:rsidRPr="00BE1C69">
        <w:rPr>
          <w:rFonts w:ascii="Kohinoor Devanagari" w:hAnsi="Kohinoor Devanagari" w:cs="Kohinoor Devanagari"/>
          <w:sz w:val="22"/>
          <w:szCs w:val="22"/>
          <w:lang w:eastAsia="en-GB"/>
        </w:rPr>
        <w:t xml:space="preserve"> Data must be available in machine-readable formats (e.g., CSV, XML) for easy analysis and reuse.</w:t>
      </w:r>
    </w:p>
    <w:p w14:paraId="1E278A6F" w14:textId="77777777" w:rsidR="000E2BDE" w:rsidRDefault="000E2BDE" w:rsidP="000E2BDE">
      <w:pPr>
        <w:numPr>
          <w:ilvl w:val="0"/>
          <w:numId w:val="81"/>
        </w:numPr>
        <w:spacing w:before="120" w:after="120" w:line="240" w:lineRule="auto"/>
        <w:jc w:val="both"/>
        <w:rPr>
          <w:rFonts w:ascii="Kohinoor Devanagari" w:hAnsi="Kohinoor Devanagari" w:cs="Kohinoor Devanagari"/>
          <w:sz w:val="22"/>
          <w:szCs w:val="22"/>
          <w:lang w:eastAsia="en-GB"/>
        </w:rPr>
      </w:pPr>
      <w:r w:rsidRPr="00BE1C69">
        <w:rPr>
          <w:rFonts w:ascii="Kohinoor Devanagari" w:hAnsi="Kohinoor Devanagari" w:cs="Kohinoor Devanagari"/>
          <w:b/>
          <w:bCs/>
          <w:sz w:val="22"/>
          <w:szCs w:val="22"/>
          <w:lang w:eastAsia="en-GB"/>
        </w:rPr>
        <w:t>Metadata and Documentation:</w:t>
      </w:r>
      <w:r w:rsidRPr="00BE1C69">
        <w:rPr>
          <w:rFonts w:ascii="Kohinoor Devanagari" w:hAnsi="Kohinoor Devanagari" w:cs="Kohinoor Devanagari"/>
          <w:sz w:val="22"/>
          <w:szCs w:val="22"/>
          <w:lang w:eastAsia="en-GB"/>
        </w:rPr>
        <w:t xml:space="preserve"> Each dataset must include basic explanatory notes to ensure clarity and proper interpretation.</w:t>
      </w:r>
    </w:p>
    <w:p w14:paraId="104E0361" w14:textId="33CC0B70" w:rsidR="00C379B3" w:rsidRPr="00BE1C69" w:rsidRDefault="00C379B3" w:rsidP="00C379B3">
      <w:pPr>
        <w:numPr>
          <w:ilvl w:val="0"/>
          <w:numId w:val="81"/>
        </w:numPr>
        <w:spacing w:before="120" w:after="120" w:line="240" w:lineRule="auto"/>
        <w:jc w:val="both"/>
        <w:rPr>
          <w:rFonts w:ascii="Kohinoor Devanagari" w:hAnsi="Kohinoor Devanagari" w:cs="Kohinoor Devanagari"/>
          <w:sz w:val="22"/>
          <w:szCs w:val="22"/>
          <w:lang w:eastAsia="en-GB"/>
        </w:rPr>
      </w:pPr>
      <w:r w:rsidRPr="00C379B3">
        <w:rPr>
          <w:rFonts w:ascii="Kohinoor Devanagari" w:hAnsi="Kohinoor Devanagari" w:cs="Kohinoor Devanagari"/>
          <w:b/>
          <w:bCs/>
          <w:sz w:val="22"/>
          <w:szCs w:val="22"/>
          <w:lang w:eastAsia="en-GB"/>
        </w:rPr>
        <w:t>Historical and Real-Time Data Access:</w:t>
      </w:r>
      <w:r w:rsidRPr="00C379B3">
        <w:rPr>
          <w:rFonts w:ascii="Kohinoor Devanagari" w:hAnsi="Kohinoor Devanagari" w:cs="Kohinoor Devanagari"/>
          <w:sz w:val="22"/>
          <w:szCs w:val="22"/>
          <w:lang w:eastAsia="en-GB"/>
        </w:rPr>
        <w:t xml:space="preserve"> Whenever possible, data should include </w:t>
      </w:r>
      <w:r w:rsidRPr="00BE1C69">
        <w:rPr>
          <w:rFonts w:ascii="Kohinoor Devanagari" w:hAnsi="Kohinoor Devanagari" w:cs="Kohinoor Devanagari"/>
          <w:sz w:val="22"/>
          <w:szCs w:val="22"/>
          <w:lang w:eastAsia="en-GB"/>
        </w:rPr>
        <w:t>historical records and real-time updates</w:t>
      </w:r>
      <w:r w:rsidRPr="00C379B3">
        <w:rPr>
          <w:rFonts w:ascii="Kohinoor Devanagari" w:hAnsi="Kohinoor Devanagari" w:cs="Kohinoor Devanagari"/>
          <w:sz w:val="22"/>
          <w:szCs w:val="22"/>
          <w:lang w:eastAsia="en-GB"/>
        </w:rPr>
        <w:t xml:space="preserve">, enabling stakeholders to </w:t>
      </w:r>
      <w:r w:rsidRPr="00BE1C69">
        <w:rPr>
          <w:rFonts w:ascii="Kohinoor Devanagari" w:hAnsi="Kohinoor Devanagari" w:cs="Kohinoor Devanagari"/>
          <w:sz w:val="22"/>
          <w:szCs w:val="22"/>
          <w:lang w:eastAsia="en-GB"/>
        </w:rPr>
        <w:t>track trends, assess impacts, and support evidence-based decision-making</w:t>
      </w:r>
      <w:r w:rsidRPr="00C379B3">
        <w:rPr>
          <w:rFonts w:ascii="Kohinoor Devanagari" w:hAnsi="Kohinoor Devanagari" w:cs="Kohinoor Devanagari"/>
          <w:sz w:val="22"/>
          <w:szCs w:val="22"/>
          <w:lang w:eastAsia="en-GB"/>
        </w:rPr>
        <w:t>.</w:t>
      </w:r>
    </w:p>
    <w:p w14:paraId="69EA61D0" w14:textId="5F73140A" w:rsidR="00A264F4" w:rsidRPr="00A3573B" w:rsidRDefault="00A264F4" w:rsidP="008568EE">
      <w:pPr>
        <w:pStyle w:val="Heading3"/>
        <w:numPr>
          <w:ilvl w:val="2"/>
          <w:numId w:val="101"/>
        </w:numPr>
        <w:spacing w:before="120" w:after="120" w:line="240" w:lineRule="auto"/>
        <w:jc w:val="both"/>
        <w:rPr>
          <w:rFonts w:ascii="Kohinoor Devanagari" w:hAnsi="Kohinoor Devanagari" w:cs="Kohinoor Devanagari"/>
          <w:b/>
          <w:bCs/>
          <w:sz w:val="22"/>
          <w:szCs w:val="22"/>
          <w:lang w:eastAsia="en-GB"/>
        </w:rPr>
      </w:pPr>
      <w:r w:rsidRPr="00A3573B">
        <w:rPr>
          <w:rFonts w:ascii="Kohinoor Devanagari" w:hAnsi="Kohinoor Devanagari" w:cs="Kohinoor Devanagari"/>
          <w:b/>
          <w:bCs/>
          <w:sz w:val="22"/>
          <w:szCs w:val="22"/>
          <w:lang w:eastAsia="en-GB"/>
        </w:rPr>
        <w:t>Citizen Engagement and Feedback Mechanism</w:t>
      </w:r>
    </w:p>
    <w:p w14:paraId="5FB75DF9" w14:textId="77777777" w:rsidR="00A264F4" w:rsidRPr="00A3573B" w:rsidRDefault="00A264F4" w:rsidP="00A264F4">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sz w:val="22"/>
          <w:szCs w:val="22"/>
          <w:lang w:eastAsia="en-GB"/>
        </w:rPr>
        <w:t>To ensure public oversight and accountability, this policy establishes:</w:t>
      </w:r>
    </w:p>
    <w:p w14:paraId="189D0B80" w14:textId="44B8F542" w:rsidR="00A264F4" w:rsidRPr="00A3573B" w:rsidRDefault="00A264F4" w:rsidP="002E19BC">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Public Data Requests</w:t>
      </w:r>
      <w:r w:rsidRPr="00A3573B">
        <w:rPr>
          <w:rFonts w:ascii="Kohinoor Devanagari" w:hAnsi="Kohinoor Devanagari" w:cs="Kohinoor Devanagari"/>
          <w:sz w:val="22"/>
          <w:szCs w:val="22"/>
          <w:lang w:eastAsia="en-GB"/>
        </w:rPr>
        <w:t xml:space="preserve">: Citizens and CSOs can request additional extractive data via the </w:t>
      </w:r>
      <w:r w:rsidRPr="00A3573B">
        <w:rPr>
          <w:rFonts w:ascii="Kohinoor Devanagari" w:hAnsi="Kohinoor Devanagari" w:cs="Kohinoor Devanagari"/>
          <w:b/>
          <w:bCs/>
          <w:sz w:val="22"/>
          <w:szCs w:val="22"/>
          <w:lang w:eastAsia="en-GB"/>
        </w:rPr>
        <w:t>National Open Data Portal</w:t>
      </w:r>
      <w:r w:rsidRPr="00A3573B">
        <w:rPr>
          <w:rFonts w:ascii="Kohinoor Devanagari" w:hAnsi="Kohinoor Devanagari" w:cs="Kohinoor Devanagari"/>
          <w:sz w:val="22"/>
          <w:szCs w:val="22"/>
          <w:lang w:eastAsia="en-GB"/>
        </w:rPr>
        <w:t xml:space="preserve">. </w:t>
      </w:r>
    </w:p>
    <w:p w14:paraId="5BCEF282" w14:textId="77777777" w:rsidR="00A264F4" w:rsidRPr="00A3573B" w:rsidRDefault="00A264F4" w:rsidP="002E19BC">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Error Reporting</w:t>
      </w:r>
      <w:r w:rsidRPr="00A3573B">
        <w:rPr>
          <w:rFonts w:ascii="Kohinoor Devanagari" w:hAnsi="Kohinoor Devanagari" w:cs="Kohinoor Devanagari"/>
          <w:sz w:val="22"/>
          <w:szCs w:val="22"/>
          <w:lang w:eastAsia="en-GB"/>
        </w:rPr>
        <w:t>: A grievance mechanism allows users to report missing or incorrect data, with mandatory corrections and public tracking.</w:t>
      </w:r>
    </w:p>
    <w:p w14:paraId="2D3A4A3B" w14:textId="281FEFE8" w:rsidR="00A264F4" w:rsidRPr="00A3573B" w:rsidRDefault="00A264F4" w:rsidP="002E19BC">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Stakeholder Feedback</w:t>
      </w:r>
      <w:r w:rsidRPr="00A3573B">
        <w:rPr>
          <w:rFonts w:ascii="Kohinoor Devanagari" w:hAnsi="Kohinoor Devanagari" w:cs="Kohinoor Devanagari"/>
          <w:sz w:val="22"/>
          <w:szCs w:val="22"/>
          <w:lang w:eastAsia="en-GB"/>
        </w:rPr>
        <w:t>: The EITI Iraq MSG will conduct annual consultations</w:t>
      </w:r>
      <w:r w:rsidR="00954C13" w:rsidRPr="00A3573B">
        <w:rPr>
          <w:rFonts w:ascii="Kohinoor Devanagari" w:hAnsi="Kohinoor Devanagari" w:cs="Kohinoor Devanagari"/>
          <w:sz w:val="22"/>
          <w:szCs w:val="22"/>
          <w:lang w:eastAsia="en-GB"/>
        </w:rPr>
        <w:t xml:space="preserve"> and review</w:t>
      </w:r>
      <w:r w:rsidRPr="00A3573B">
        <w:rPr>
          <w:rFonts w:ascii="Kohinoor Devanagari" w:hAnsi="Kohinoor Devanagari" w:cs="Kohinoor Devanagari"/>
          <w:sz w:val="22"/>
          <w:szCs w:val="22"/>
          <w:lang w:eastAsia="en-GB"/>
        </w:rPr>
        <w:t xml:space="preserve"> to assess data gaps and improve disclosures.</w:t>
      </w:r>
    </w:p>
    <w:p w14:paraId="303E8D94" w14:textId="77777777" w:rsidR="00A264F4" w:rsidRPr="00A3573B" w:rsidRDefault="00A264F4" w:rsidP="002E19BC">
      <w:pPr>
        <w:spacing w:before="120" w:after="120" w:line="240" w:lineRule="auto"/>
        <w:jc w:val="both"/>
        <w:rPr>
          <w:rFonts w:ascii="Kohinoor Devanagari" w:hAnsi="Kohinoor Devanagari" w:cs="Kohinoor Devanagari"/>
          <w:sz w:val="22"/>
          <w:szCs w:val="22"/>
          <w:lang w:eastAsia="en-GB"/>
        </w:rPr>
      </w:pPr>
      <w:r w:rsidRPr="00A3573B">
        <w:rPr>
          <w:rFonts w:ascii="Kohinoor Devanagari" w:hAnsi="Kohinoor Devanagari" w:cs="Kohinoor Devanagari"/>
          <w:b/>
          <w:bCs/>
          <w:sz w:val="22"/>
          <w:szCs w:val="22"/>
          <w:lang w:eastAsia="en-GB"/>
        </w:rPr>
        <w:t>Compliance Monitoring</w:t>
      </w:r>
      <w:r w:rsidRPr="00A3573B">
        <w:rPr>
          <w:rFonts w:ascii="Kohinoor Devanagari" w:hAnsi="Kohinoor Devanagari" w:cs="Kohinoor Devanagari"/>
          <w:sz w:val="22"/>
          <w:szCs w:val="22"/>
          <w:lang w:eastAsia="en-GB"/>
        </w:rPr>
        <w:t xml:space="preserve">: Non-compliance will be </w:t>
      </w:r>
      <w:r w:rsidRPr="00A3573B">
        <w:rPr>
          <w:rFonts w:ascii="Kohinoor Devanagari" w:hAnsi="Kohinoor Devanagari" w:cs="Kohinoor Devanagari"/>
          <w:b/>
          <w:bCs/>
          <w:sz w:val="22"/>
          <w:szCs w:val="22"/>
          <w:lang w:eastAsia="en-GB"/>
        </w:rPr>
        <w:t>tracked and publicly reported</w:t>
      </w:r>
      <w:r w:rsidRPr="00A3573B">
        <w:rPr>
          <w:rFonts w:ascii="Kohinoor Devanagari" w:hAnsi="Kohinoor Devanagari" w:cs="Kohinoor Devanagari"/>
          <w:sz w:val="22"/>
          <w:szCs w:val="22"/>
          <w:lang w:eastAsia="en-GB"/>
        </w:rPr>
        <w:t xml:space="preserve"> in the annual EITI review.</w:t>
      </w:r>
    </w:p>
    <w:p w14:paraId="464D4FF2" w14:textId="621DB067" w:rsidR="004E43C8" w:rsidRPr="00A3573B" w:rsidRDefault="004E43C8" w:rsidP="008568EE">
      <w:pPr>
        <w:pStyle w:val="Heading2"/>
        <w:numPr>
          <w:ilvl w:val="1"/>
          <w:numId w:val="101"/>
        </w:numPr>
        <w:spacing w:before="120" w:after="120" w:line="240" w:lineRule="auto"/>
        <w:ind w:left="426" w:hanging="426"/>
        <w:jc w:val="both"/>
        <w:rPr>
          <w:rFonts w:ascii="Kohinoor Devanagari" w:hAnsi="Kohinoor Devanagari" w:cs="Kohinoor Devanagari"/>
          <w:b/>
          <w:bCs/>
          <w:sz w:val="22"/>
          <w:szCs w:val="22"/>
        </w:rPr>
      </w:pPr>
      <w:bookmarkStart w:id="36" w:name="_Toc194240175"/>
      <w:r w:rsidRPr="00A3573B">
        <w:rPr>
          <w:rFonts w:ascii="Kohinoor Devanagari" w:hAnsi="Kohinoor Devanagari" w:cs="Kohinoor Devanagari"/>
          <w:b/>
          <w:bCs/>
          <w:sz w:val="22"/>
          <w:szCs w:val="22"/>
        </w:rPr>
        <w:t>Continuous Review and Updates</w:t>
      </w:r>
      <w:bookmarkEnd w:id="36"/>
    </w:p>
    <w:p w14:paraId="3CB8124A" w14:textId="77777777" w:rsidR="00941337" w:rsidRPr="00BE1C69" w:rsidRDefault="00941337" w:rsidP="00941337">
      <w:pPr>
        <w:spacing w:before="120" w:after="120" w:line="240" w:lineRule="auto"/>
        <w:jc w:val="both"/>
        <w:rPr>
          <w:rFonts w:ascii="Kohinoor Devanagari" w:hAnsi="Kohinoor Devanagari" w:cs="Kohinoor Devanagari"/>
          <w:sz w:val="22"/>
          <w:szCs w:val="22"/>
          <w:lang w:eastAsia="en-GB"/>
        </w:rPr>
      </w:pPr>
      <w:r w:rsidRPr="00BE1C69">
        <w:rPr>
          <w:rFonts w:ascii="Kohinoor Devanagari" w:hAnsi="Kohinoor Devanagari" w:cs="Kohinoor Devanagari"/>
          <w:sz w:val="22"/>
          <w:szCs w:val="22"/>
          <w:lang w:eastAsia="en-GB"/>
        </w:rPr>
        <w:t>To ensure the policy remains effective and aligned with evolving needs:</w:t>
      </w:r>
    </w:p>
    <w:p w14:paraId="7CA2880E" w14:textId="77777777" w:rsidR="00941337" w:rsidRPr="00BE1C69" w:rsidRDefault="00941337" w:rsidP="00941337">
      <w:pPr>
        <w:numPr>
          <w:ilvl w:val="0"/>
          <w:numId w:val="82"/>
        </w:numPr>
        <w:spacing w:before="120" w:after="120" w:line="240" w:lineRule="auto"/>
        <w:jc w:val="both"/>
        <w:rPr>
          <w:rFonts w:ascii="Kohinoor Devanagari" w:hAnsi="Kohinoor Devanagari" w:cs="Kohinoor Devanagari"/>
          <w:sz w:val="22"/>
          <w:szCs w:val="22"/>
          <w:lang w:eastAsia="en-GB"/>
        </w:rPr>
      </w:pPr>
      <w:r w:rsidRPr="00BE1C69">
        <w:rPr>
          <w:rFonts w:ascii="Kohinoor Devanagari" w:hAnsi="Kohinoor Devanagari" w:cs="Kohinoor Devanagari"/>
          <w:b/>
          <w:bCs/>
          <w:sz w:val="22"/>
          <w:szCs w:val="22"/>
          <w:lang w:eastAsia="en-GB"/>
        </w:rPr>
        <w:t>Annual Review:</w:t>
      </w:r>
      <w:r w:rsidRPr="00BE1C69">
        <w:rPr>
          <w:rFonts w:ascii="Kohinoor Devanagari" w:hAnsi="Kohinoor Devanagari" w:cs="Kohinoor Devanagari"/>
          <w:sz w:val="22"/>
          <w:szCs w:val="22"/>
          <w:lang w:eastAsia="en-GB"/>
        </w:rPr>
        <w:t xml:space="preserve"> COMSEC, in coordination with relevant ministries and IEITI, will review the policy’s implementation and propose updates if necessary.</w:t>
      </w:r>
    </w:p>
    <w:p w14:paraId="024A85DD" w14:textId="77777777" w:rsidR="00941337" w:rsidRPr="00BE1C69" w:rsidRDefault="00941337" w:rsidP="00941337">
      <w:pPr>
        <w:numPr>
          <w:ilvl w:val="0"/>
          <w:numId w:val="82"/>
        </w:numPr>
        <w:spacing w:before="120" w:after="120" w:line="240" w:lineRule="auto"/>
        <w:jc w:val="both"/>
        <w:rPr>
          <w:rFonts w:ascii="Kohinoor Devanagari" w:hAnsi="Kohinoor Devanagari" w:cs="Kohinoor Devanagari"/>
          <w:sz w:val="22"/>
          <w:szCs w:val="22"/>
          <w:lang w:eastAsia="en-GB"/>
        </w:rPr>
      </w:pPr>
      <w:r w:rsidRPr="00BE1C69">
        <w:rPr>
          <w:rFonts w:ascii="Kohinoor Devanagari" w:hAnsi="Kohinoor Devanagari" w:cs="Kohinoor Devanagari"/>
          <w:b/>
          <w:bCs/>
          <w:sz w:val="22"/>
          <w:szCs w:val="22"/>
          <w:lang w:eastAsia="en-GB"/>
        </w:rPr>
        <w:t>Adaptation to EITI Standards:</w:t>
      </w:r>
      <w:r w:rsidRPr="00BE1C69">
        <w:rPr>
          <w:rFonts w:ascii="Kohinoor Devanagari" w:hAnsi="Kohinoor Devanagari" w:cs="Kohinoor Devanagari"/>
          <w:sz w:val="22"/>
          <w:szCs w:val="22"/>
          <w:lang w:eastAsia="en-GB"/>
        </w:rPr>
        <w:t xml:space="preserve"> The policy will be updated as needed to align with new EITI requirements, international best practices, and evolving Iraqi regulations.</w:t>
      </w:r>
    </w:p>
    <w:p w14:paraId="1A30202C" w14:textId="2454CDE3" w:rsidR="00747575" w:rsidRPr="00A3573B" w:rsidRDefault="00400BAB" w:rsidP="008568EE">
      <w:pPr>
        <w:pStyle w:val="Heading2"/>
        <w:numPr>
          <w:ilvl w:val="1"/>
          <w:numId w:val="101"/>
        </w:numPr>
        <w:spacing w:before="120" w:after="120" w:line="240" w:lineRule="auto"/>
        <w:ind w:left="426" w:hanging="426"/>
        <w:jc w:val="both"/>
        <w:rPr>
          <w:rFonts w:ascii="Kohinoor Devanagari" w:hAnsi="Kohinoor Devanagari" w:cs="Kohinoor Devanagari"/>
          <w:b/>
          <w:bCs/>
          <w:sz w:val="22"/>
          <w:szCs w:val="22"/>
        </w:rPr>
      </w:pPr>
      <w:bookmarkStart w:id="37" w:name="_Toc194240176"/>
      <w:r w:rsidRPr="00A3573B">
        <w:rPr>
          <w:rFonts w:ascii="Kohinoor Devanagari" w:hAnsi="Kohinoor Devanagari" w:cs="Kohinoor Devanagari"/>
          <w:b/>
          <w:bCs/>
          <w:sz w:val="22"/>
          <w:szCs w:val="22"/>
        </w:rPr>
        <w:t>Implementation</w:t>
      </w:r>
      <w:r w:rsidR="007B33EB" w:rsidRPr="00A3573B">
        <w:rPr>
          <w:rFonts w:ascii="Kohinoor Devanagari" w:hAnsi="Kohinoor Devanagari" w:cs="Kohinoor Devanagari"/>
          <w:b/>
          <w:bCs/>
          <w:sz w:val="22"/>
          <w:szCs w:val="22"/>
        </w:rPr>
        <w:t xml:space="preserve"> and </w:t>
      </w:r>
      <w:r w:rsidRPr="00A3573B">
        <w:rPr>
          <w:rFonts w:ascii="Kohinoor Devanagari" w:hAnsi="Kohinoor Devanagari" w:cs="Kohinoor Devanagari"/>
          <w:b/>
          <w:bCs/>
          <w:sz w:val="22"/>
          <w:szCs w:val="22"/>
        </w:rPr>
        <w:t>Publication</w:t>
      </w:r>
      <w:bookmarkEnd w:id="37"/>
    </w:p>
    <w:p w14:paraId="706EE510" w14:textId="309C75A3" w:rsidR="00CF220B" w:rsidRPr="00BE1C69" w:rsidRDefault="00CF220B" w:rsidP="00CF220B">
      <w:pPr>
        <w:spacing w:before="120" w:after="120"/>
        <w:jc w:val="both"/>
        <w:rPr>
          <w:rFonts w:ascii="Kohinoor Devanagari" w:hAnsi="Kohinoor Devanagari" w:cs="Kohinoor Devanagari"/>
          <w:sz w:val="22"/>
          <w:szCs w:val="22"/>
          <w:lang w:eastAsia="en-GB"/>
        </w:rPr>
      </w:pPr>
      <w:r w:rsidRPr="00BE1C69">
        <w:rPr>
          <w:rFonts w:ascii="Kohinoor Devanagari" w:hAnsi="Kohinoor Devanagari" w:cs="Kohinoor Devanagari"/>
          <w:sz w:val="22"/>
          <w:szCs w:val="22"/>
          <w:lang w:eastAsia="en-GB"/>
        </w:rPr>
        <w:t xml:space="preserve">This </w:t>
      </w:r>
      <w:r w:rsidRPr="00BE1C69">
        <w:rPr>
          <w:rFonts w:ascii="Kohinoor Devanagari" w:hAnsi="Kohinoor Devanagari" w:cs="Kohinoor Devanagari"/>
          <w:b/>
          <w:bCs/>
          <w:sz w:val="22"/>
          <w:szCs w:val="22"/>
          <w:lang w:eastAsia="en-GB"/>
        </w:rPr>
        <w:t>Policy takes effect immediately</w:t>
      </w:r>
      <w:r w:rsidRPr="00BE1C69">
        <w:rPr>
          <w:rFonts w:ascii="Kohinoor Devanagari" w:hAnsi="Kohinoor Devanagari" w:cs="Kohinoor Devanagari"/>
          <w:sz w:val="22"/>
          <w:szCs w:val="22"/>
          <w:lang w:eastAsia="en-GB"/>
        </w:rPr>
        <w:t xml:space="preserve">, with a </w:t>
      </w:r>
      <w:r>
        <w:rPr>
          <w:rFonts w:ascii="Kohinoor Devanagari" w:hAnsi="Kohinoor Devanagari" w:cs="Kohinoor Devanagari"/>
          <w:b/>
          <w:bCs/>
          <w:sz w:val="22"/>
          <w:szCs w:val="22"/>
          <w:lang w:eastAsia="en-GB"/>
        </w:rPr>
        <w:t>three</w:t>
      </w:r>
      <w:r w:rsidRPr="00BE1C69">
        <w:rPr>
          <w:rFonts w:ascii="Kohinoor Devanagari" w:hAnsi="Kohinoor Devanagari" w:cs="Kohinoor Devanagari"/>
          <w:b/>
          <w:bCs/>
          <w:sz w:val="22"/>
          <w:szCs w:val="22"/>
          <w:lang w:eastAsia="en-GB"/>
        </w:rPr>
        <w:t>-month compliance period</w:t>
      </w:r>
      <w:r w:rsidRPr="00BE1C69">
        <w:rPr>
          <w:rFonts w:ascii="Kohinoor Devanagari" w:hAnsi="Kohinoor Devanagari" w:cs="Kohinoor Devanagari"/>
          <w:sz w:val="22"/>
          <w:szCs w:val="22"/>
          <w:lang w:eastAsia="en-GB"/>
        </w:rPr>
        <w:t xml:space="preserve"> for all reporting entities to fully implement its provisions.</w:t>
      </w:r>
    </w:p>
    <w:p w14:paraId="42A5EB49" w14:textId="77777777" w:rsidR="00CF220B" w:rsidRDefault="00CF220B" w:rsidP="00CF220B">
      <w:pPr>
        <w:spacing w:before="120" w:after="120"/>
        <w:jc w:val="both"/>
        <w:rPr>
          <w:rFonts w:ascii="Kohinoor Devanagari" w:hAnsi="Kohinoor Devanagari" w:cs="Kohinoor Devanagari"/>
          <w:sz w:val="22"/>
          <w:szCs w:val="22"/>
          <w:lang w:eastAsia="en-GB"/>
        </w:rPr>
      </w:pPr>
      <w:r w:rsidRPr="00BE1C69">
        <w:rPr>
          <w:rFonts w:ascii="Kohinoor Devanagari" w:hAnsi="Kohinoor Devanagari" w:cs="Kohinoor Devanagari"/>
          <w:sz w:val="22"/>
          <w:szCs w:val="22"/>
          <w:lang w:eastAsia="en-GB"/>
        </w:rPr>
        <w:t xml:space="preserve">Each entity must: </w:t>
      </w:r>
    </w:p>
    <w:p w14:paraId="6DCE4E0E" w14:textId="77777777" w:rsidR="00CF220B" w:rsidRPr="00BE1C69" w:rsidRDefault="00CF220B" w:rsidP="00BE1C69">
      <w:pPr>
        <w:pStyle w:val="ListParagraph"/>
        <w:numPr>
          <w:ilvl w:val="0"/>
          <w:numId w:val="84"/>
        </w:numPr>
        <w:spacing w:before="120" w:after="120"/>
        <w:jc w:val="both"/>
        <w:rPr>
          <w:rFonts w:ascii="Kohinoor Devanagari" w:hAnsi="Kohinoor Devanagari" w:cs="Kohinoor Devanagari"/>
          <w:sz w:val="22"/>
          <w:szCs w:val="22"/>
          <w:lang w:eastAsia="en-GB"/>
        </w:rPr>
      </w:pPr>
      <w:r w:rsidRPr="00BE1C69">
        <w:rPr>
          <w:rFonts w:ascii="Kohinoor Devanagari" w:hAnsi="Kohinoor Devanagari" w:cs="Kohinoor Devanagari"/>
          <w:sz w:val="22"/>
          <w:szCs w:val="22"/>
          <w:lang w:eastAsia="en-GB"/>
        </w:rPr>
        <w:t>Integrate data collection and disclosure mechanisms into its operations.</w:t>
      </w:r>
    </w:p>
    <w:p w14:paraId="30D57B96" w14:textId="58893D84" w:rsidR="00CF220B" w:rsidRPr="00BE1C69" w:rsidRDefault="00CF220B" w:rsidP="00BE1C69">
      <w:pPr>
        <w:pStyle w:val="ListParagraph"/>
        <w:numPr>
          <w:ilvl w:val="0"/>
          <w:numId w:val="84"/>
        </w:numPr>
        <w:spacing w:before="120" w:after="120"/>
        <w:jc w:val="both"/>
        <w:rPr>
          <w:rFonts w:ascii="Kohinoor Devanagari" w:hAnsi="Kohinoor Devanagari" w:cs="Kohinoor Devanagari"/>
          <w:sz w:val="22"/>
          <w:szCs w:val="22"/>
          <w:lang w:eastAsia="en-GB"/>
        </w:rPr>
      </w:pPr>
      <w:r w:rsidRPr="00BE1C69">
        <w:rPr>
          <w:rFonts w:ascii="Kohinoor Devanagari" w:hAnsi="Kohinoor Devanagari" w:cs="Kohinoor Devanagari"/>
          <w:sz w:val="22"/>
          <w:szCs w:val="22"/>
          <w:lang w:eastAsia="en-GB"/>
        </w:rPr>
        <w:t>Train personnel to ensure effective systematic disclosure.</w:t>
      </w:r>
    </w:p>
    <w:p w14:paraId="42488613" w14:textId="17657226" w:rsidR="00CF220B" w:rsidRPr="00BE1C69" w:rsidRDefault="00CF220B" w:rsidP="00BE1C69">
      <w:pPr>
        <w:pStyle w:val="ListParagraph"/>
        <w:numPr>
          <w:ilvl w:val="0"/>
          <w:numId w:val="84"/>
        </w:numPr>
        <w:spacing w:before="120" w:after="120"/>
        <w:jc w:val="both"/>
        <w:rPr>
          <w:rFonts w:ascii="Kohinoor Devanagari" w:hAnsi="Kohinoor Devanagari" w:cs="Kohinoor Devanagari"/>
          <w:sz w:val="22"/>
          <w:szCs w:val="22"/>
          <w:lang w:eastAsia="en-GB"/>
        </w:rPr>
      </w:pPr>
      <w:r w:rsidRPr="00BE1C69">
        <w:rPr>
          <w:rFonts w:ascii="Kohinoor Devanagari" w:hAnsi="Kohinoor Devanagari" w:cs="Kohinoor Devanagari"/>
          <w:sz w:val="22"/>
          <w:szCs w:val="22"/>
          <w:lang w:eastAsia="en-GB"/>
        </w:rPr>
        <w:t>Align internal reporting systems with EITI and open data requirements.</w:t>
      </w:r>
    </w:p>
    <w:p w14:paraId="69568481" w14:textId="05F78847" w:rsidR="00CF220B" w:rsidRPr="00BE1C69" w:rsidRDefault="00CF220B" w:rsidP="00BE1C69">
      <w:pPr>
        <w:pStyle w:val="ListParagraph"/>
        <w:numPr>
          <w:ilvl w:val="0"/>
          <w:numId w:val="84"/>
        </w:numPr>
        <w:spacing w:before="120" w:after="120"/>
        <w:jc w:val="both"/>
        <w:rPr>
          <w:rFonts w:ascii="Kohinoor Devanagari" w:hAnsi="Kohinoor Devanagari" w:cs="Kohinoor Devanagari"/>
          <w:sz w:val="22"/>
          <w:szCs w:val="22"/>
          <w:lang w:eastAsia="en-GB"/>
        </w:rPr>
      </w:pPr>
      <w:r w:rsidRPr="00BE1C69">
        <w:rPr>
          <w:rFonts w:ascii="Kohinoor Devanagari" w:hAnsi="Kohinoor Devanagari" w:cs="Kohinoor Devanagari"/>
          <w:sz w:val="22"/>
          <w:szCs w:val="22"/>
          <w:lang w:eastAsia="en-GB"/>
        </w:rPr>
        <w:t>Establish compliance oversight mechanisms to monitor adherence.</w:t>
      </w:r>
    </w:p>
    <w:p w14:paraId="37264612" w14:textId="77777777" w:rsidR="00CF220B" w:rsidRPr="00BE1C69" w:rsidRDefault="00CF220B" w:rsidP="00CF220B">
      <w:pPr>
        <w:spacing w:before="120" w:after="120"/>
        <w:jc w:val="both"/>
        <w:rPr>
          <w:rFonts w:ascii="Kohinoor Devanagari" w:hAnsi="Kohinoor Devanagari" w:cs="Kohinoor Devanagari"/>
          <w:sz w:val="22"/>
          <w:szCs w:val="22"/>
          <w:lang w:eastAsia="en-GB"/>
        </w:rPr>
      </w:pPr>
      <w:r w:rsidRPr="00BE1C69">
        <w:rPr>
          <w:rFonts w:ascii="Kohinoor Devanagari" w:hAnsi="Kohinoor Devanagari" w:cs="Kohinoor Devanagari"/>
          <w:b/>
          <w:bCs/>
          <w:sz w:val="22"/>
          <w:szCs w:val="22"/>
          <w:lang w:eastAsia="en-GB"/>
        </w:rPr>
        <w:t>Oversight and Responsibility:</w:t>
      </w:r>
    </w:p>
    <w:p w14:paraId="525AE805" w14:textId="77777777" w:rsidR="00CF220B" w:rsidRPr="00BE1C69" w:rsidRDefault="00CF220B" w:rsidP="00CF220B">
      <w:pPr>
        <w:numPr>
          <w:ilvl w:val="0"/>
          <w:numId w:val="83"/>
        </w:numPr>
        <w:spacing w:before="120" w:after="120"/>
        <w:jc w:val="both"/>
        <w:rPr>
          <w:rFonts w:ascii="Kohinoor Devanagari" w:hAnsi="Kohinoor Devanagari" w:cs="Kohinoor Devanagari"/>
          <w:sz w:val="22"/>
          <w:szCs w:val="22"/>
          <w:lang w:eastAsia="en-GB"/>
        </w:rPr>
      </w:pPr>
      <w:r w:rsidRPr="00BE1C69">
        <w:rPr>
          <w:rFonts w:ascii="Kohinoor Devanagari" w:hAnsi="Kohinoor Devanagari" w:cs="Kohinoor Devanagari"/>
          <w:sz w:val="22"/>
          <w:szCs w:val="22"/>
          <w:lang w:eastAsia="en-GB"/>
        </w:rPr>
        <w:t>COMSEC will oversee the implementation and ensure coordination across ministries and SOEs.</w:t>
      </w:r>
    </w:p>
    <w:p w14:paraId="0483EC99" w14:textId="72A50B74" w:rsidR="00CF220B" w:rsidRPr="00BE1C69" w:rsidRDefault="00CF220B" w:rsidP="00CF220B">
      <w:pPr>
        <w:numPr>
          <w:ilvl w:val="0"/>
          <w:numId w:val="83"/>
        </w:numPr>
        <w:spacing w:before="120" w:after="120"/>
        <w:jc w:val="both"/>
        <w:rPr>
          <w:rFonts w:ascii="Kohinoor Devanagari" w:hAnsi="Kohinoor Devanagari" w:cs="Kohinoor Devanagari"/>
          <w:sz w:val="22"/>
          <w:szCs w:val="22"/>
          <w:lang w:eastAsia="en-GB"/>
        </w:rPr>
      </w:pPr>
      <w:r w:rsidRPr="00BE1C69">
        <w:rPr>
          <w:rFonts w:ascii="Kohinoor Devanagari" w:hAnsi="Kohinoor Devanagari" w:cs="Kohinoor Devanagari"/>
          <w:sz w:val="22"/>
          <w:szCs w:val="22"/>
          <w:lang w:eastAsia="en-GB"/>
        </w:rPr>
        <w:t>The Ministers of Oil, Finance, and Industry and Minerals</w:t>
      </w:r>
      <w:r w:rsidR="00F56D62" w:rsidRPr="00BE1C69">
        <w:rPr>
          <w:rFonts w:ascii="Kohinoor Devanagari" w:hAnsi="Kohinoor Devanagari" w:cs="Kohinoor Devanagari"/>
          <w:sz w:val="22"/>
          <w:szCs w:val="22"/>
          <w:lang w:eastAsia="en-GB"/>
        </w:rPr>
        <w:t>, and</w:t>
      </w:r>
      <w:r w:rsidR="00D16F17" w:rsidRPr="00BE1C69">
        <w:rPr>
          <w:rFonts w:ascii="Kohinoor Devanagari" w:hAnsi="Kohinoor Devanagari" w:cs="Kohinoor Devanagari"/>
          <w:sz w:val="22"/>
          <w:szCs w:val="22"/>
          <w:lang w:eastAsia="en-GB"/>
        </w:rPr>
        <w:t xml:space="preserve"> </w:t>
      </w:r>
      <w:r w:rsidR="00174920" w:rsidRPr="00BE1C69">
        <w:rPr>
          <w:rFonts w:ascii="Kohinoor Devanagari" w:hAnsi="Kohinoor Devanagari" w:cs="Kohinoor Devanagari"/>
          <w:sz w:val="22"/>
          <w:szCs w:val="22"/>
          <w:lang w:eastAsia="en-GB"/>
        </w:rPr>
        <w:t>Environment</w:t>
      </w:r>
      <w:r w:rsidRPr="00BE1C69">
        <w:rPr>
          <w:rFonts w:ascii="Kohinoor Devanagari" w:hAnsi="Kohinoor Devanagari" w:cs="Kohinoor Devanagari"/>
          <w:sz w:val="22"/>
          <w:szCs w:val="22"/>
          <w:lang w:eastAsia="en-GB"/>
        </w:rPr>
        <w:t xml:space="preserve"> will ensure execution within their respective mandates.</w:t>
      </w:r>
    </w:p>
    <w:p w14:paraId="541868D2" w14:textId="77777777" w:rsidR="00CF220B" w:rsidRPr="00BE1C69" w:rsidRDefault="00CF220B" w:rsidP="00CF220B">
      <w:pPr>
        <w:numPr>
          <w:ilvl w:val="0"/>
          <w:numId w:val="83"/>
        </w:numPr>
        <w:spacing w:before="120" w:after="120"/>
        <w:jc w:val="both"/>
        <w:rPr>
          <w:rFonts w:ascii="Kohinoor Devanagari" w:hAnsi="Kohinoor Devanagari" w:cs="Kohinoor Devanagari"/>
          <w:sz w:val="22"/>
          <w:szCs w:val="22"/>
          <w:lang w:eastAsia="en-GB"/>
        </w:rPr>
      </w:pPr>
      <w:r w:rsidRPr="00BE1C69">
        <w:rPr>
          <w:rFonts w:ascii="Kohinoor Devanagari" w:hAnsi="Kohinoor Devanagari" w:cs="Kohinoor Devanagari"/>
          <w:sz w:val="22"/>
          <w:szCs w:val="22"/>
          <w:lang w:eastAsia="en-GB"/>
        </w:rPr>
        <w:t>IEITI will monitor compliance and provide technical assistance as needed.</w:t>
      </w:r>
    </w:p>
    <w:p w14:paraId="3A03D22F" w14:textId="739151FD" w:rsidR="00052CE7" w:rsidRPr="00BE1C69" w:rsidRDefault="00052CE7" w:rsidP="00052CE7">
      <w:pPr>
        <w:spacing w:before="120" w:after="120"/>
        <w:jc w:val="both"/>
        <w:rPr>
          <w:rFonts w:ascii="Kohinoor Devanagari" w:hAnsi="Kohinoor Devanagari" w:cs="Kohinoor Devanagari"/>
          <w:b/>
          <w:bCs/>
          <w:sz w:val="22"/>
          <w:szCs w:val="22"/>
          <w:lang w:eastAsia="en-GB"/>
        </w:rPr>
      </w:pPr>
      <w:r w:rsidRPr="00BE1C69">
        <w:rPr>
          <w:rFonts w:ascii="Kohinoor Devanagari" w:hAnsi="Kohinoor Devanagari" w:cs="Kohinoor Devanagari"/>
          <w:b/>
          <w:bCs/>
          <w:sz w:val="22"/>
          <w:szCs w:val="22"/>
          <w:lang w:eastAsia="en-GB"/>
        </w:rPr>
        <w:t>Public Accessibility:</w:t>
      </w:r>
    </w:p>
    <w:p w14:paraId="5C4A6B6A" w14:textId="13919673" w:rsidR="00AC19BF" w:rsidRDefault="00052CE7" w:rsidP="00052CE7">
      <w:pPr>
        <w:spacing w:before="120" w:after="120"/>
        <w:jc w:val="both"/>
        <w:rPr>
          <w:rFonts w:ascii="Kohinoor Devanagari" w:hAnsi="Kohinoor Devanagari" w:cs="Kohinoor Devanagari"/>
          <w:sz w:val="22"/>
          <w:szCs w:val="22"/>
          <w:lang w:eastAsia="en-GB"/>
        </w:rPr>
      </w:pPr>
      <w:r w:rsidRPr="00052CE7">
        <w:rPr>
          <w:rFonts w:ascii="Kohinoor Devanagari" w:hAnsi="Kohinoor Devanagari" w:cs="Kohinoor Devanagari"/>
          <w:sz w:val="22"/>
          <w:szCs w:val="22"/>
          <w:lang w:eastAsia="en-GB"/>
        </w:rPr>
        <w:t xml:space="preserve">This policy will be published on the </w:t>
      </w:r>
      <w:r w:rsidRPr="00BE1C69">
        <w:rPr>
          <w:rFonts w:ascii="Kohinoor Devanagari" w:hAnsi="Kohinoor Devanagari" w:cs="Kohinoor Devanagari"/>
          <w:sz w:val="22"/>
          <w:szCs w:val="22"/>
          <w:lang w:eastAsia="en-GB"/>
        </w:rPr>
        <w:t>official websites of the Ministry of Oil, Ministry of Finance, Ministry of Industry and Minerals, and the IEITI portal</w:t>
      </w:r>
      <w:r w:rsidRPr="00052CE7">
        <w:rPr>
          <w:rFonts w:ascii="Kohinoor Devanagari" w:hAnsi="Kohinoor Devanagari" w:cs="Kohinoor Devanagari"/>
          <w:sz w:val="22"/>
          <w:szCs w:val="22"/>
          <w:lang w:eastAsia="en-GB"/>
        </w:rPr>
        <w:t xml:space="preserve">, ensuring </w:t>
      </w:r>
      <w:r w:rsidRPr="00BE1C69">
        <w:rPr>
          <w:rFonts w:ascii="Kohinoor Devanagari" w:hAnsi="Kohinoor Devanagari" w:cs="Kohinoor Devanagari"/>
          <w:sz w:val="22"/>
          <w:szCs w:val="22"/>
          <w:lang w:eastAsia="en-GB"/>
        </w:rPr>
        <w:t>easy access and transparency</w:t>
      </w:r>
      <w:r w:rsidRPr="00052CE7">
        <w:rPr>
          <w:rFonts w:ascii="Kohinoor Devanagari" w:hAnsi="Kohinoor Devanagari" w:cs="Kohinoor Devanagari"/>
          <w:sz w:val="22"/>
          <w:szCs w:val="22"/>
          <w:lang w:eastAsia="en-GB"/>
        </w:rPr>
        <w:t>.</w:t>
      </w:r>
    </w:p>
    <w:p w14:paraId="5345727F" w14:textId="77777777" w:rsidR="00AC19BF" w:rsidRDefault="00AC19BF">
      <w:pPr>
        <w:rPr>
          <w:rFonts w:ascii="Kohinoor Devanagari" w:hAnsi="Kohinoor Devanagari" w:cs="Kohinoor Devanagari"/>
          <w:sz w:val="22"/>
          <w:szCs w:val="22"/>
          <w:lang w:eastAsia="en-GB"/>
        </w:rPr>
      </w:pPr>
      <w:r>
        <w:rPr>
          <w:rFonts w:ascii="Kohinoor Devanagari" w:hAnsi="Kohinoor Devanagari" w:cs="Kohinoor Devanagari"/>
          <w:sz w:val="22"/>
          <w:szCs w:val="22"/>
          <w:lang w:eastAsia="en-GB"/>
        </w:rPr>
        <w:br w:type="page"/>
      </w:r>
    </w:p>
    <w:p w14:paraId="26B44DDB" w14:textId="1C5DE7B3" w:rsidR="00D13032" w:rsidRPr="00A3573B" w:rsidRDefault="000B0278" w:rsidP="00C33FCF">
      <w:pPr>
        <w:pStyle w:val="Heading1"/>
        <w:shd w:val="clear" w:color="auto" w:fill="61BC4D"/>
        <w:spacing w:before="120" w:after="120" w:line="240" w:lineRule="auto"/>
        <w:ind w:left="567" w:hanging="567"/>
        <w:jc w:val="both"/>
        <w:rPr>
          <w:rFonts w:ascii="Kohinoor Devanagari" w:hAnsi="Kohinoor Devanagari" w:cs="Kohinoor Devanagari"/>
          <w:b/>
          <w:color w:val="FFFFFF" w:themeColor="background1"/>
          <w:kern w:val="0"/>
          <w:sz w:val="22"/>
          <w:szCs w:val="22"/>
          <w14:ligatures w14:val="none"/>
        </w:rPr>
      </w:pPr>
      <w:bookmarkStart w:id="38" w:name="_Toc194240177"/>
      <w:r>
        <w:rPr>
          <w:rFonts w:ascii="Kohinoor Devanagari" w:hAnsi="Kohinoor Devanagari" w:cs="Kohinoor Devanagari"/>
          <w:b/>
          <w:color w:val="FFFFFF" w:themeColor="background1"/>
          <w:kern w:val="0"/>
          <w:sz w:val="22"/>
          <w:szCs w:val="22"/>
          <w14:ligatures w14:val="none"/>
        </w:rPr>
        <w:t>6</w:t>
      </w:r>
      <w:r w:rsidR="00D13032" w:rsidRPr="00A3573B">
        <w:rPr>
          <w:rFonts w:ascii="Kohinoor Devanagari" w:hAnsi="Kohinoor Devanagari" w:cs="Kohinoor Devanagari"/>
          <w:b/>
          <w:color w:val="FFFFFF" w:themeColor="background1"/>
          <w:kern w:val="0"/>
          <w:sz w:val="22"/>
          <w:szCs w:val="22"/>
          <w14:ligatures w14:val="none"/>
        </w:rPr>
        <w:t>. Conclusion and Next Steps</w:t>
      </w:r>
      <w:bookmarkEnd w:id="38"/>
    </w:p>
    <w:p w14:paraId="6E1B908A" w14:textId="74D4AD03" w:rsidR="00D13032" w:rsidRPr="00A3573B" w:rsidRDefault="00D13032" w:rsidP="000B0278">
      <w:pPr>
        <w:pStyle w:val="Heading2"/>
        <w:numPr>
          <w:ilvl w:val="1"/>
          <w:numId w:val="105"/>
        </w:numPr>
        <w:spacing w:before="120" w:after="120" w:line="240" w:lineRule="auto"/>
        <w:jc w:val="both"/>
        <w:rPr>
          <w:rFonts w:ascii="Kohinoor Devanagari" w:hAnsi="Kohinoor Devanagari" w:cs="Kohinoor Devanagari"/>
          <w:b/>
          <w:bCs/>
          <w:sz w:val="22"/>
          <w:szCs w:val="22"/>
        </w:rPr>
      </w:pPr>
      <w:bookmarkStart w:id="39" w:name="_Toc194240178"/>
      <w:r w:rsidRPr="00A3573B">
        <w:rPr>
          <w:rFonts w:ascii="Kohinoor Devanagari" w:hAnsi="Kohinoor Devanagari" w:cs="Kohinoor Devanagari"/>
          <w:b/>
          <w:bCs/>
          <w:sz w:val="22"/>
          <w:szCs w:val="22"/>
        </w:rPr>
        <w:t>Summary of findings</w:t>
      </w:r>
      <w:bookmarkEnd w:id="39"/>
    </w:p>
    <w:p w14:paraId="129762DF" w14:textId="125617B3" w:rsidR="00637A97" w:rsidRDefault="00637A97" w:rsidP="00637A97">
      <w:pPr>
        <w:spacing w:before="120" w:after="120" w:line="240" w:lineRule="auto"/>
        <w:jc w:val="both"/>
        <w:rPr>
          <w:rFonts w:ascii="Kohinoor Devanagari" w:hAnsi="Kohinoor Devanagari" w:cs="Kohinoor Devanagari"/>
          <w:sz w:val="22"/>
          <w:szCs w:val="22"/>
        </w:rPr>
      </w:pPr>
      <w:r w:rsidRPr="00637A97">
        <w:rPr>
          <w:rFonts w:ascii="Kohinoor Devanagari" w:hAnsi="Kohinoor Devanagari" w:cs="Kohinoor Devanagari"/>
          <w:sz w:val="22"/>
          <w:szCs w:val="22"/>
        </w:rPr>
        <w:t>The review of Iraq’s current practices regarding data disclosure in the extractive sector reflects encouraging steps towards alignment with the EITI Standard. Iraq has made notable efforts to increase transparency, including the publication of selected revenue and production data. However, some structural and operational challenges remain, which may affect the comprehensiveness and timeliness of disclosed information.</w:t>
      </w:r>
    </w:p>
    <w:p w14:paraId="4EF144EE" w14:textId="77777777" w:rsidR="0050182C" w:rsidRPr="002A4D1F" w:rsidRDefault="0050182C" w:rsidP="0050182C">
      <w:pPr>
        <w:spacing w:before="120" w:after="120" w:line="240" w:lineRule="auto"/>
        <w:jc w:val="both"/>
        <w:rPr>
          <w:rFonts w:ascii="Kohinoor Devanagari" w:hAnsi="Kohinoor Devanagari" w:cs="Kohinoor Devanagari"/>
          <w:sz w:val="22"/>
          <w:szCs w:val="22"/>
        </w:rPr>
      </w:pPr>
      <w:r w:rsidRPr="002A4D1F">
        <w:rPr>
          <w:rFonts w:ascii="Kohinoor Devanagari" w:hAnsi="Kohinoor Devanagari" w:cs="Kohinoor Devanagari"/>
          <w:sz w:val="22"/>
          <w:szCs w:val="22"/>
        </w:rPr>
        <w:t>Key observations include:</w:t>
      </w:r>
    </w:p>
    <w:p w14:paraId="18EE2F17" w14:textId="77777777" w:rsidR="0050182C" w:rsidRPr="00BE1C69" w:rsidRDefault="0050182C" w:rsidP="0050182C">
      <w:pPr>
        <w:numPr>
          <w:ilvl w:val="0"/>
          <w:numId w:val="89"/>
        </w:numPr>
        <w:spacing w:before="120" w:after="120" w:line="240" w:lineRule="auto"/>
        <w:jc w:val="both"/>
        <w:rPr>
          <w:rFonts w:ascii="Kohinoor Devanagari" w:hAnsi="Kohinoor Devanagari" w:cs="Kohinoor Devanagari"/>
          <w:sz w:val="22"/>
          <w:szCs w:val="22"/>
        </w:rPr>
      </w:pPr>
      <w:r w:rsidRPr="00BE1C69">
        <w:rPr>
          <w:rFonts w:ascii="Kohinoor Devanagari" w:hAnsi="Kohinoor Devanagari" w:cs="Kohinoor Devanagari"/>
          <w:b/>
          <w:bCs/>
          <w:sz w:val="22"/>
          <w:szCs w:val="22"/>
        </w:rPr>
        <w:t>Coordination Among Institutions:</w:t>
      </w:r>
      <w:r w:rsidRPr="00BE1C69">
        <w:rPr>
          <w:rFonts w:ascii="Kohinoor Devanagari" w:hAnsi="Kohinoor Devanagari" w:cs="Kohinoor Devanagari"/>
          <w:sz w:val="22"/>
          <w:szCs w:val="22"/>
        </w:rPr>
        <w:t xml:space="preserve"> The multiplicity of actors involved in data management—government agencies, SOEs, and private operators—necessitates stronger coordination to ensure consistency in data collection and disclosure.</w:t>
      </w:r>
    </w:p>
    <w:p w14:paraId="04913A8F" w14:textId="77777777" w:rsidR="0050182C" w:rsidRPr="00BE1C69" w:rsidRDefault="0050182C" w:rsidP="0050182C">
      <w:pPr>
        <w:numPr>
          <w:ilvl w:val="0"/>
          <w:numId w:val="89"/>
        </w:numPr>
        <w:spacing w:before="120" w:after="120" w:line="240" w:lineRule="auto"/>
        <w:jc w:val="both"/>
        <w:rPr>
          <w:rFonts w:ascii="Kohinoor Devanagari" w:hAnsi="Kohinoor Devanagari" w:cs="Kohinoor Devanagari"/>
          <w:sz w:val="22"/>
          <w:szCs w:val="22"/>
        </w:rPr>
      </w:pPr>
      <w:r w:rsidRPr="00BE1C69">
        <w:rPr>
          <w:rFonts w:ascii="Kohinoor Devanagari" w:hAnsi="Kohinoor Devanagari" w:cs="Kohinoor Devanagari"/>
          <w:b/>
          <w:bCs/>
          <w:sz w:val="22"/>
          <w:szCs w:val="22"/>
        </w:rPr>
        <w:t>Scope of Publicly Available Information:</w:t>
      </w:r>
      <w:r w:rsidRPr="00BE1C69">
        <w:rPr>
          <w:rFonts w:ascii="Kohinoor Devanagari" w:hAnsi="Kohinoor Devanagari" w:cs="Kohinoor Devanagari"/>
          <w:sz w:val="22"/>
          <w:szCs w:val="22"/>
        </w:rPr>
        <w:t xml:space="preserve"> While key financial data is shared, there is room to broaden the scope of disclosures to include information such as contracts, beneficial ownership, and social and environmental contributions.</w:t>
      </w:r>
    </w:p>
    <w:p w14:paraId="52803213" w14:textId="77777777" w:rsidR="0050182C" w:rsidRPr="00BE1C69" w:rsidRDefault="0050182C" w:rsidP="0050182C">
      <w:pPr>
        <w:numPr>
          <w:ilvl w:val="0"/>
          <w:numId w:val="89"/>
        </w:numPr>
        <w:spacing w:before="120" w:after="120" w:line="240" w:lineRule="auto"/>
        <w:jc w:val="both"/>
        <w:rPr>
          <w:rFonts w:ascii="Kohinoor Devanagari" w:hAnsi="Kohinoor Devanagari" w:cs="Kohinoor Devanagari"/>
          <w:sz w:val="22"/>
          <w:szCs w:val="22"/>
        </w:rPr>
      </w:pPr>
      <w:r w:rsidRPr="00BE1C69">
        <w:rPr>
          <w:rFonts w:ascii="Kohinoor Devanagari" w:hAnsi="Kohinoor Devanagari" w:cs="Kohinoor Devanagari"/>
          <w:b/>
          <w:bCs/>
          <w:sz w:val="22"/>
          <w:szCs w:val="22"/>
        </w:rPr>
        <w:t>Application of Disclosure Procedures:</w:t>
      </w:r>
      <w:r w:rsidRPr="00BE1C69">
        <w:rPr>
          <w:rFonts w:ascii="Kohinoor Devanagari" w:hAnsi="Kohinoor Devanagari" w:cs="Kohinoor Devanagari"/>
          <w:sz w:val="22"/>
          <w:szCs w:val="22"/>
        </w:rPr>
        <w:t xml:space="preserve"> Existing rules and commitments would benefit from clearer implementation guidance and consistent application across entities.</w:t>
      </w:r>
    </w:p>
    <w:p w14:paraId="1B0DF09A" w14:textId="77777777" w:rsidR="0050182C" w:rsidRPr="00BE1C69" w:rsidRDefault="0050182C" w:rsidP="0050182C">
      <w:pPr>
        <w:numPr>
          <w:ilvl w:val="0"/>
          <w:numId w:val="89"/>
        </w:numPr>
        <w:spacing w:before="120" w:after="120" w:line="240" w:lineRule="auto"/>
        <w:jc w:val="both"/>
        <w:rPr>
          <w:rFonts w:ascii="Kohinoor Devanagari" w:hAnsi="Kohinoor Devanagari" w:cs="Kohinoor Devanagari"/>
          <w:sz w:val="22"/>
          <w:szCs w:val="22"/>
        </w:rPr>
      </w:pPr>
      <w:r w:rsidRPr="00BE1C69">
        <w:rPr>
          <w:rFonts w:ascii="Kohinoor Devanagari" w:hAnsi="Kohinoor Devanagari" w:cs="Kohinoor Devanagari"/>
          <w:b/>
          <w:bCs/>
          <w:sz w:val="22"/>
          <w:szCs w:val="22"/>
        </w:rPr>
        <w:t>Data Systems and Accessibility:</w:t>
      </w:r>
      <w:r w:rsidRPr="00BE1C69">
        <w:rPr>
          <w:rFonts w:ascii="Kohinoor Devanagari" w:hAnsi="Kohinoor Devanagari" w:cs="Kohinoor Devanagari"/>
          <w:sz w:val="22"/>
          <w:szCs w:val="22"/>
        </w:rPr>
        <w:t xml:space="preserve"> Technical limitations, such as the lack of a unified disclosure platform and standard formats, present practical barriers to the effective sharing and use of information.</w:t>
      </w:r>
    </w:p>
    <w:p w14:paraId="00D3F46E" w14:textId="77777777" w:rsidR="0050182C" w:rsidRDefault="0050182C" w:rsidP="0050182C">
      <w:pPr>
        <w:numPr>
          <w:ilvl w:val="0"/>
          <w:numId w:val="89"/>
        </w:numPr>
        <w:spacing w:before="120" w:after="120" w:line="240" w:lineRule="auto"/>
        <w:jc w:val="both"/>
        <w:rPr>
          <w:rFonts w:ascii="Kohinoor Devanagari" w:hAnsi="Kohinoor Devanagari" w:cs="Kohinoor Devanagari"/>
          <w:sz w:val="22"/>
          <w:szCs w:val="22"/>
        </w:rPr>
      </w:pPr>
      <w:r w:rsidRPr="00BE1C69">
        <w:rPr>
          <w:rFonts w:ascii="Kohinoor Devanagari" w:hAnsi="Kohinoor Devanagari" w:cs="Kohinoor Devanagari"/>
          <w:b/>
          <w:bCs/>
          <w:sz w:val="22"/>
          <w:szCs w:val="22"/>
        </w:rPr>
        <w:t>Stakeholder Engagement:</w:t>
      </w:r>
      <w:r w:rsidRPr="00BE1C69">
        <w:rPr>
          <w:rFonts w:ascii="Kohinoor Devanagari" w:hAnsi="Kohinoor Devanagari" w:cs="Kohinoor Devanagari"/>
          <w:sz w:val="22"/>
          <w:szCs w:val="22"/>
        </w:rPr>
        <w:t xml:space="preserve"> Efforts to promote data use by civil society, media, and other non-state actors could be strengthened to enhance public understanding and oversight.</w:t>
      </w:r>
    </w:p>
    <w:p w14:paraId="472F796B" w14:textId="67E7D5A7" w:rsidR="00703F99" w:rsidRPr="004904FD" w:rsidRDefault="004904FD" w:rsidP="004904FD">
      <w:pPr>
        <w:numPr>
          <w:ilvl w:val="0"/>
          <w:numId w:val="89"/>
        </w:numPr>
        <w:spacing w:before="120" w:after="120" w:line="240" w:lineRule="auto"/>
        <w:jc w:val="both"/>
        <w:rPr>
          <w:rFonts w:ascii="Kohinoor Devanagari" w:hAnsi="Kohinoor Devanagari" w:cs="Kohinoor Devanagari"/>
          <w:sz w:val="22"/>
          <w:szCs w:val="22"/>
        </w:rPr>
      </w:pPr>
      <w:r w:rsidRPr="004904FD">
        <w:rPr>
          <w:rFonts w:ascii="Kohinoor Devanagari" w:hAnsi="Kohinoor Devanagari" w:cs="Kohinoor Devanagari"/>
          <w:b/>
          <w:bCs/>
          <w:sz w:val="22"/>
          <w:szCs w:val="22"/>
        </w:rPr>
        <w:t xml:space="preserve">Legal and Regulatory Gaps: </w:t>
      </w:r>
      <w:r w:rsidRPr="002A4D1F">
        <w:rPr>
          <w:rFonts w:ascii="Kohinoor Devanagari" w:hAnsi="Kohinoor Devanagari" w:cs="Kohinoor Devanagari"/>
          <w:sz w:val="22"/>
          <w:szCs w:val="22"/>
        </w:rPr>
        <w:t>While some legislative reforms may be beneficial in the medium term, the immediate priority is to better enforce existing provisions, such as Decree No. 86 of 2024. However, addressing gaps through new or amended legislation remains desirable, including the adoption of an Extractive Data Transparency Law, finalizing the Right to Information Act, and defining clear disclosure obligations for government agencies, SOEs, and IOCs.</w:t>
      </w:r>
    </w:p>
    <w:p w14:paraId="5E54C114" w14:textId="77777777" w:rsidR="0050182C" w:rsidRPr="00BE1C69" w:rsidRDefault="0050182C" w:rsidP="0050182C">
      <w:pPr>
        <w:spacing w:before="120" w:after="120" w:line="240" w:lineRule="auto"/>
        <w:jc w:val="both"/>
        <w:rPr>
          <w:rFonts w:ascii="Kohinoor Devanagari" w:hAnsi="Kohinoor Devanagari" w:cs="Kohinoor Devanagari"/>
          <w:sz w:val="22"/>
          <w:szCs w:val="22"/>
        </w:rPr>
      </w:pPr>
      <w:r w:rsidRPr="00BE1C69">
        <w:rPr>
          <w:rFonts w:ascii="Kohinoor Devanagari" w:hAnsi="Kohinoor Devanagari" w:cs="Kohinoor Devanagari"/>
          <w:sz w:val="22"/>
          <w:szCs w:val="22"/>
        </w:rPr>
        <w:t>Recognizing these issues, a gradual and pragmatic approach is proposed to reinforce existing practices and support systematic disclosure, building on what is already in place and identifying areas where progress is most feasible in the short term.</w:t>
      </w:r>
    </w:p>
    <w:p w14:paraId="2FE1B45D" w14:textId="11FD59BD" w:rsidR="00E03B89" w:rsidRPr="00A3573B" w:rsidRDefault="003A7051" w:rsidP="005B46E4">
      <w:pPr>
        <w:pStyle w:val="Heading2"/>
        <w:numPr>
          <w:ilvl w:val="1"/>
          <w:numId w:val="105"/>
        </w:numPr>
        <w:spacing w:before="120" w:after="120" w:line="240" w:lineRule="auto"/>
        <w:jc w:val="both"/>
        <w:rPr>
          <w:rFonts w:ascii="Kohinoor Devanagari" w:hAnsi="Kohinoor Devanagari" w:cs="Kohinoor Devanagari"/>
          <w:b/>
          <w:bCs/>
          <w:sz w:val="22"/>
          <w:szCs w:val="22"/>
        </w:rPr>
      </w:pPr>
      <w:bookmarkStart w:id="40" w:name="_Toc194240179"/>
      <w:r w:rsidRPr="00A3573B">
        <w:rPr>
          <w:rFonts w:ascii="Kohinoor Devanagari" w:hAnsi="Kohinoor Devanagari" w:cs="Kohinoor Devanagari"/>
          <w:b/>
          <w:bCs/>
          <w:sz w:val="22"/>
          <w:szCs w:val="22"/>
        </w:rPr>
        <w:t>Roadmap for Policy Development</w:t>
      </w:r>
      <w:bookmarkEnd w:id="40"/>
    </w:p>
    <w:p w14:paraId="38D0F1C7" w14:textId="73FE8E36" w:rsidR="00696C66" w:rsidRDefault="00696C66" w:rsidP="00696C66">
      <w:pPr>
        <w:spacing w:before="120" w:after="120" w:line="240" w:lineRule="auto"/>
        <w:jc w:val="both"/>
        <w:rPr>
          <w:rFonts w:ascii="Kohinoor Devanagari" w:hAnsi="Kohinoor Devanagari" w:cs="Kohinoor Devanagari"/>
          <w:sz w:val="22"/>
          <w:szCs w:val="22"/>
        </w:rPr>
      </w:pPr>
      <w:r w:rsidRPr="00696C66">
        <w:rPr>
          <w:rFonts w:ascii="Kohinoor Devanagari" w:hAnsi="Kohinoor Devanagari" w:cs="Kohinoor Devanagari"/>
          <w:sz w:val="22"/>
          <w:szCs w:val="22"/>
        </w:rPr>
        <w:t>The roadmap outlined below aims to support Iraq in advancing transparency through practical steps that can be undertaken. It prioritizes actions that build on current frameworks and promote collaboration among stakeholders.</w:t>
      </w:r>
    </w:p>
    <w:p w14:paraId="36B82ACA" w14:textId="1111FF7C" w:rsidR="00335605" w:rsidRPr="00BE1C69" w:rsidRDefault="00335605" w:rsidP="00BE1C69">
      <w:pPr>
        <w:pStyle w:val="ListParagraph"/>
        <w:numPr>
          <w:ilvl w:val="0"/>
          <w:numId w:val="91"/>
        </w:numPr>
        <w:spacing w:before="120" w:after="120" w:line="240" w:lineRule="auto"/>
        <w:ind w:left="851" w:hanging="491"/>
        <w:jc w:val="both"/>
        <w:rPr>
          <w:rFonts w:ascii="Kohinoor Devanagari" w:hAnsi="Kohinoor Devanagari" w:cs="Kohinoor Devanagari"/>
          <w:sz w:val="22"/>
          <w:szCs w:val="22"/>
        </w:rPr>
      </w:pPr>
      <w:r w:rsidRPr="00BE1C69">
        <w:rPr>
          <w:rFonts w:ascii="Kohinoor Devanagari" w:hAnsi="Kohinoor Devanagari" w:cs="Kohinoor Devanagari"/>
          <w:b/>
          <w:bCs/>
          <w:sz w:val="22"/>
          <w:szCs w:val="22"/>
        </w:rPr>
        <w:t>Strengthening Coordination and Institutional Arrangements</w:t>
      </w:r>
    </w:p>
    <w:p w14:paraId="524E4ABE" w14:textId="77777777" w:rsidR="00335605" w:rsidRPr="00BE1C69" w:rsidRDefault="00335605" w:rsidP="00335605">
      <w:pPr>
        <w:numPr>
          <w:ilvl w:val="0"/>
          <w:numId w:val="90"/>
        </w:numPr>
        <w:spacing w:before="120" w:after="120" w:line="240" w:lineRule="auto"/>
        <w:jc w:val="both"/>
        <w:rPr>
          <w:rFonts w:ascii="Kohinoor Devanagari" w:hAnsi="Kohinoor Devanagari" w:cs="Kohinoor Devanagari"/>
          <w:sz w:val="22"/>
          <w:szCs w:val="22"/>
        </w:rPr>
      </w:pPr>
      <w:r w:rsidRPr="00BE1C69">
        <w:rPr>
          <w:rFonts w:ascii="Kohinoor Devanagari" w:hAnsi="Kohinoor Devanagari" w:cs="Kohinoor Devanagari"/>
          <w:sz w:val="22"/>
          <w:szCs w:val="22"/>
        </w:rPr>
        <w:t>Designate focal points within key entities to facilitate information sharing and streamline reporting efforts.</w:t>
      </w:r>
    </w:p>
    <w:p w14:paraId="2096402E" w14:textId="77777777" w:rsidR="00335605" w:rsidRPr="00BE1C69" w:rsidRDefault="00335605" w:rsidP="00335605">
      <w:pPr>
        <w:numPr>
          <w:ilvl w:val="0"/>
          <w:numId w:val="90"/>
        </w:numPr>
        <w:spacing w:before="120" w:after="120" w:line="240" w:lineRule="auto"/>
        <w:jc w:val="both"/>
        <w:rPr>
          <w:rFonts w:ascii="Kohinoor Devanagari" w:hAnsi="Kohinoor Devanagari" w:cs="Kohinoor Devanagari"/>
          <w:sz w:val="22"/>
          <w:szCs w:val="22"/>
        </w:rPr>
      </w:pPr>
      <w:r w:rsidRPr="00BE1C69">
        <w:rPr>
          <w:rFonts w:ascii="Kohinoor Devanagari" w:hAnsi="Kohinoor Devanagari" w:cs="Kohinoor Devanagari"/>
          <w:sz w:val="22"/>
          <w:szCs w:val="22"/>
        </w:rPr>
        <w:t>Promote structured dialogue between institutions through working groups or inter-agency coordination platforms.</w:t>
      </w:r>
    </w:p>
    <w:p w14:paraId="3F28E06E" w14:textId="77777777" w:rsidR="00335605" w:rsidRPr="00BE1C69" w:rsidRDefault="00335605" w:rsidP="00335605">
      <w:pPr>
        <w:numPr>
          <w:ilvl w:val="0"/>
          <w:numId w:val="90"/>
        </w:numPr>
        <w:spacing w:before="120" w:after="120" w:line="240" w:lineRule="auto"/>
        <w:jc w:val="both"/>
        <w:rPr>
          <w:rFonts w:ascii="Kohinoor Devanagari" w:hAnsi="Kohinoor Devanagari" w:cs="Kohinoor Devanagari"/>
          <w:sz w:val="22"/>
          <w:szCs w:val="22"/>
        </w:rPr>
      </w:pPr>
      <w:r w:rsidRPr="00BE1C69">
        <w:rPr>
          <w:rFonts w:ascii="Kohinoor Devanagari" w:hAnsi="Kohinoor Devanagari" w:cs="Kohinoor Devanagari"/>
          <w:sz w:val="22"/>
          <w:szCs w:val="22"/>
        </w:rPr>
        <w:t>Utilize existing legal provisions (such as Decree 86/2024) to reinforce disclosure practices where possible.</w:t>
      </w:r>
    </w:p>
    <w:p w14:paraId="28D940D8" w14:textId="77777777" w:rsidR="00BC554A" w:rsidRPr="00BE1C69" w:rsidRDefault="00BC554A" w:rsidP="00BE1C69">
      <w:pPr>
        <w:pStyle w:val="ListParagraph"/>
        <w:numPr>
          <w:ilvl w:val="0"/>
          <w:numId w:val="91"/>
        </w:numPr>
        <w:spacing w:before="120" w:after="120" w:line="240" w:lineRule="auto"/>
        <w:ind w:left="851" w:hanging="491"/>
        <w:jc w:val="both"/>
        <w:rPr>
          <w:rFonts w:ascii="Kohinoor Devanagari" w:hAnsi="Kohinoor Devanagari" w:cs="Kohinoor Devanagari"/>
          <w:b/>
          <w:bCs/>
          <w:sz w:val="22"/>
          <w:szCs w:val="22"/>
        </w:rPr>
      </w:pPr>
      <w:r w:rsidRPr="00BE1C69">
        <w:rPr>
          <w:rFonts w:ascii="Kohinoor Devanagari" w:hAnsi="Kohinoor Devanagari" w:cs="Kohinoor Devanagari"/>
          <w:b/>
          <w:bCs/>
          <w:sz w:val="22"/>
          <w:szCs w:val="22"/>
        </w:rPr>
        <w:t>Enhancing Data Availability and Technical Integration</w:t>
      </w:r>
    </w:p>
    <w:p w14:paraId="31996401" w14:textId="0B55B7AE" w:rsidR="00BC554A" w:rsidRPr="00BE1C69" w:rsidRDefault="00BC554A" w:rsidP="00BC554A">
      <w:pPr>
        <w:numPr>
          <w:ilvl w:val="0"/>
          <w:numId w:val="92"/>
        </w:numPr>
        <w:spacing w:before="120" w:after="120" w:line="240" w:lineRule="auto"/>
        <w:jc w:val="both"/>
        <w:rPr>
          <w:rFonts w:ascii="Kohinoor Devanagari" w:hAnsi="Kohinoor Devanagari" w:cs="Kohinoor Devanagari"/>
          <w:sz w:val="22"/>
          <w:szCs w:val="22"/>
        </w:rPr>
      </w:pPr>
      <w:r w:rsidRPr="00BE1C69">
        <w:rPr>
          <w:rFonts w:ascii="Kohinoor Devanagari" w:hAnsi="Kohinoor Devanagari" w:cs="Kohinoor Devanagari"/>
          <w:sz w:val="22"/>
          <w:szCs w:val="22"/>
        </w:rPr>
        <w:t xml:space="preserve">Launch or expand a central online platform, possibly integrated with the current </w:t>
      </w:r>
      <w:r w:rsidR="00611B1C">
        <w:rPr>
          <w:rFonts w:ascii="Kohinoor Devanagari" w:hAnsi="Kohinoor Devanagari" w:cs="Kohinoor Devanagari"/>
          <w:sz w:val="22"/>
          <w:szCs w:val="22"/>
        </w:rPr>
        <w:t>NRTC</w:t>
      </w:r>
      <w:r w:rsidRPr="00BE1C69">
        <w:rPr>
          <w:rFonts w:ascii="Kohinoor Devanagari" w:hAnsi="Kohinoor Devanagari" w:cs="Kohinoor Devanagari"/>
          <w:sz w:val="22"/>
          <w:szCs w:val="22"/>
        </w:rPr>
        <w:t xml:space="preserve"> Iraq website, to consolidate and publish key datasets in accessible formats.</w:t>
      </w:r>
    </w:p>
    <w:p w14:paraId="649E436B" w14:textId="77777777" w:rsidR="00BC554A" w:rsidRPr="00BE1C69" w:rsidRDefault="00BC554A" w:rsidP="00BC554A">
      <w:pPr>
        <w:numPr>
          <w:ilvl w:val="0"/>
          <w:numId w:val="92"/>
        </w:numPr>
        <w:spacing w:before="120" w:after="120" w:line="240" w:lineRule="auto"/>
        <w:jc w:val="both"/>
        <w:rPr>
          <w:rFonts w:ascii="Kohinoor Devanagari" w:hAnsi="Kohinoor Devanagari" w:cs="Kohinoor Devanagari"/>
          <w:sz w:val="22"/>
          <w:szCs w:val="22"/>
        </w:rPr>
      </w:pPr>
      <w:r w:rsidRPr="00BE1C69">
        <w:rPr>
          <w:rFonts w:ascii="Kohinoor Devanagari" w:hAnsi="Kohinoor Devanagari" w:cs="Kohinoor Devanagari"/>
          <w:sz w:val="22"/>
          <w:szCs w:val="22"/>
        </w:rPr>
        <w:t>Begin with priority datasets that are already collected and regularly updated, such as oil production volumes, exports, and government revenues.</w:t>
      </w:r>
    </w:p>
    <w:p w14:paraId="268D3D89" w14:textId="77777777" w:rsidR="00BC554A" w:rsidRPr="00BE1C69" w:rsidRDefault="00BC554A" w:rsidP="00BC554A">
      <w:pPr>
        <w:numPr>
          <w:ilvl w:val="0"/>
          <w:numId w:val="92"/>
        </w:numPr>
        <w:spacing w:before="120" w:after="120" w:line="240" w:lineRule="auto"/>
        <w:jc w:val="both"/>
        <w:rPr>
          <w:rFonts w:ascii="Kohinoor Devanagari" w:hAnsi="Kohinoor Devanagari" w:cs="Kohinoor Devanagari"/>
          <w:sz w:val="22"/>
          <w:szCs w:val="22"/>
        </w:rPr>
      </w:pPr>
      <w:r w:rsidRPr="00BE1C69">
        <w:rPr>
          <w:rFonts w:ascii="Kohinoor Devanagari" w:hAnsi="Kohinoor Devanagari" w:cs="Kohinoor Devanagari"/>
          <w:sz w:val="22"/>
          <w:szCs w:val="22"/>
        </w:rPr>
        <w:t>Develop simple templates (e.g., Excel, CSV) to promote uniformity in data reporting and ease of use for non-technical audiences.</w:t>
      </w:r>
    </w:p>
    <w:p w14:paraId="0742C109" w14:textId="4C5B65BE" w:rsidR="006C33E1" w:rsidRPr="00BE1C69" w:rsidRDefault="006C33E1" w:rsidP="00BE1C69">
      <w:pPr>
        <w:pStyle w:val="ListParagraph"/>
        <w:numPr>
          <w:ilvl w:val="0"/>
          <w:numId w:val="91"/>
        </w:numPr>
        <w:spacing w:before="120" w:after="120" w:line="240" w:lineRule="auto"/>
        <w:ind w:left="851" w:hanging="491"/>
        <w:jc w:val="both"/>
        <w:rPr>
          <w:rFonts w:ascii="Kohinoor Devanagari" w:hAnsi="Kohinoor Devanagari" w:cs="Kohinoor Devanagari"/>
          <w:b/>
          <w:bCs/>
          <w:sz w:val="22"/>
          <w:szCs w:val="22"/>
        </w:rPr>
      </w:pPr>
      <w:r w:rsidRPr="00BE1C69">
        <w:rPr>
          <w:rFonts w:ascii="Kohinoor Devanagari" w:hAnsi="Kohinoor Devanagari" w:cs="Kohinoor Devanagari"/>
          <w:b/>
          <w:bCs/>
          <w:sz w:val="22"/>
          <w:szCs w:val="22"/>
        </w:rPr>
        <w:t>Promoting Awareness and Inclusive Engagement</w:t>
      </w:r>
    </w:p>
    <w:p w14:paraId="26F42EB1" w14:textId="77777777" w:rsidR="006C33E1" w:rsidRPr="00BE1C69" w:rsidRDefault="006C33E1" w:rsidP="006C33E1">
      <w:pPr>
        <w:numPr>
          <w:ilvl w:val="0"/>
          <w:numId w:val="93"/>
        </w:numPr>
        <w:spacing w:before="120" w:after="120" w:line="240" w:lineRule="auto"/>
        <w:jc w:val="both"/>
        <w:rPr>
          <w:rFonts w:ascii="Kohinoor Devanagari" w:hAnsi="Kohinoor Devanagari" w:cs="Kohinoor Devanagari"/>
          <w:sz w:val="22"/>
          <w:szCs w:val="22"/>
        </w:rPr>
      </w:pPr>
      <w:r w:rsidRPr="00BE1C69">
        <w:rPr>
          <w:rFonts w:ascii="Kohinoor Devanagari" w:hAnsi="Kohinoor Devanagari" w:cs="Kohinoor Devanagari"/>
          <w:sz w:val="22"/>
          <w:szCs w:val="22"/>
        </w:rPr>
        <w:t>Organize practical workshops and training sessions for public institutions and SOEs on disclosure practices and data standards.</w:t>
      </w:r>
    </w:p>
    <w:p w14:paraId="00B00D87" w14:textId="01A9E91D" w:rsidR="006C33E1" w:rsidRPr="00BE1C69" w:rsidRDefault="006C33E1" w:rsidP="006C33E1">
      <w:pPr>
        <w:numPr>
          <w:ilvl w:val="0"/>
          <w:numId w:val="93"/>
        </w:numPr>
        <w:spacing w:before="120" w:after="120" w:line="240" w:lineRule="auto"/>
        <w:jc w:val="both"/>
        <w:rPr>
          <w:rFonts w:ascii="Kohinoor Devanagari" w:hAnsi="Kohinoor Devanagari" w:cs="Kohinoor Devanagari"/>
          <w:sz w:val="22"/>
          <w:szCs w:val="22"/>
        </w:rPr>
      </w:pPr>
      <w:r w:rsidRPr="00BE1C69">
        <w:rPr>
          <w:rFonts w:ascii="Kohinoor Devanagari" w:hAnsi="Kohinoor Devanagari" w:cs="Kohinoor Devanagari"/>
          <w:sz w:val="22"/>
          <w:szCs w:val="22"/>
        </w:rPr>
        <w:t>Facilitate engagement with civil society</w:t>
      </w:r>
      <w:r>
        <w:rPr>
          <w:rFonts w:ascii="Kohinoor Devanagari" w:hAnsi="Kohinoor Devanagari" w:cs="Kohinoor Devanagari"/>
          <w:sz w:val="22"/>
          <w:szCs w:val="22"/>
        </w:rPr>
        <w:t xml:space="preserve"> </w:t>
      </w:r>
      <w:r w:rsidRPr="00BE1C69">
        <w:rPr>
          <w:rFonts w:ascii="Kohinoor Devanagari" w:hAnsi="Kohinoor Devanagari" w:cs="Kohinoor Devanagari"/>
          <w:sz w:val="22"/>
          <w:szCs w:val="22"/>
        </w:rPr>
        <w:t>to encourage informed public use of disclosed data.</w:t>
      </w:r>
    </w:p>
    <w:p w14:paraId="7D03A39E" w14:textId="77777777" w:rsidR="006C33E1" w:rsidRPr="00BE1C69" w:rsidRDefault="006C33E1" w:rsidP="006C33E1">
      <w:pPr>
        <w:numPr>
          <w:ilvl w:val="0"/>
          <w:numId w:val="93"/>
        </w:numPr>
        <w:spacing w:before="120" w:after="120" w:line="240" w:lineRule="auto"/>
        <w:jc w:val="both"/>
        <w:rPr>
          <w:rFonts w:ascii="Kohinoor Devanagari" w:hAnsi="Kohinoor Devanagari" w:cs="Kohinoor Devanagari"/>
          <w:sz w:val="22"/>
          <w:szCs w:val="22"/>
        </w:rPr>
      </w:pPr>
      <w:r w:rsidRPr="00BE1C69">
        <w:rPr>
          <w:rFonts w:ascii="Kohinoor Devanagari" w:hAnsi="Kohinoor Devanagari" w:cs="Kohinoor Devanagari"/>
          <w:sz w:val="22"/>
          <w:szCs w:val="22"/>
        </w:rPr>
        <w:t>Set up a light feedback mechanism—such as a public email or online form—to allow users to suggest improvements or request clarifications.</w:t>
      </w:r>
    </w:p>
    <w:p w14:paraId="1E5437D1" w14:textId="77777777" w:rsidR="00B947AE" w:rsidRDefault="00B947AE">
      <w:pPr>
        <w:rPr>
          <w:rFonts w:ascii="Kohinoor Devanagari" w:hAnsi="Kohinoor Devanagari" w:cs="Kohinoor Devanagari"/>
          <w:b/>
          <w:bCs/>
          <w:sz w:val="22"/>
          <w:szCs w:val="22"/>
        </w:rPr>
      </w:pPr>
      <w:r>
        <w:rPr>
          <w:rFonts w:ascii="Kohinoor Devanagari" w:hAnsi="Kohinoor Devanagari" w:cs="Kohinoor Devanagari"/>
          <w:b/>
          <w:bCs/>
          <w:sz w:val="22"/>
          <w:szCs w:val="22"/>
        </w:rPr>
        <w:br w:type="page"/>
      </w:r>
    </w:p>
    <w:p w14:paraId="3EDAE391" w14:textId="5637F4E2" w:rsidR="00475F03" w:rsidRPr="00497D6D" w:rsidRDefault="00475F03" w:rsidP="00497D6D">
      <w:pPr>
        <w:pStyle w:val="ListParagraph"/>
        <w:numPr>
          <w:ilvl w:val="1"/>
          <w:numId w:val="105"/>
        </w:numPr>
        <w:spacing w:before="120" w:after="120" w:line="240" w:lineRule="auto"/>
        <w:jc w:val="both"/>
        <w:rPr>
          <w:rFonts w:ascii="Kohinoor Devanagari" w:hAnsi="Kohinoor Devanagari" w:cs="Kohinoor Devanagari"/>
          <w:b/>
          <w:bCs/>
          <w:sz w:val="22"/>
          <w:szCs w:val="22"/>
        </w:rPr>
      </w:pPr>
      <w:r w:rsidRPr="00497D6D">
        <w:rPr>
          <w:rFonts w:ascii="Kohinoor Devanagari" w:hAnsi="Kohinoor Devanagari" w:cs="Kohinoor Devanagari"/>
          <w:b/>
          <w:bCs/>
          <w:sz w:val="22"/>
          <w:szCs w:val="22"/>
        </w:rPr>
        <w:t>Key Milestones and Implementation Timeline</w:t>
      </w:r>
    </w:p>
    <w:p w14:paraId="6E59036C" w14:textId="1DB15BD5" w:rsidR="00475F03" w:rsidRPr="00A3573B" w:rsidRDefault="00475F03" w:rsidP="00475F03">
      <w:pPr>
        <w:spacing w:before="120" w:after="120" w:line="240" w:lineRule="auto"/>
        <w:jc w:val="both"/>
        <w:rPr>
          <w:rFonts w:ascii="Kohinoor Devanagari" w:hAnsi="Kohinoor Devanagari" w:cs="Kohinoor Devanagari"/>
          <w:sz w:val="22"/>
          <w:szCs w:val="22"/>
        </w:rPr>
      </w:pPr>
      <w:r w:rsidRPr="00A3573B">
        <w:rPr>
          <w:rFonts w:ascii="Kohinoor Devanagari" w:hAnsi="Kohinoor Devanagari" w:cs="Kohinoor Devanagari"/>
          <w:sz w:val="22"/>
          <w:szCs w:val="22"/>
        </w:rPr>
        <w:t xml:space="preserve">The following implementation timeline outlines the </w:t>
      </w:r>
      <w:r w:rsidRPr="00A3573B">
        <w:rPr>
          <w:rFonts w:ascii="Kohinoor Devanagari" w:hAnsi="Kohinoor Devanagari" w:cs="Kohinoor Devanagari"/>
          <w:b/>
          <w:bCs/>
          <w:sz w:val="22"/>
          <w:szCs w:val="22"/>
        </w:rPr>
        <w:t>key milestones</w:t>
      </w:r>
      <w:r w:rsidRPr="00A3573B">
        <w:rPr>
          <w:rFonts w:ascii="Kohinoor Devanagari" w:hAnsi="Kohinoor Devanagari" w:cs="Kohinoor Devanagari"/>
          <w:sz w:val="22"/>
          <w:szCs w:val="22"/>
        </w:rPr>
        <w:t xml:space="preserve"> required to </w:t>
      </w:r>
      <w:r w:rsidR="00AD02BC" w:rsidRPr="00A3573B">
        <w:rPr>
          <w:rFonts w:ascii="Kohinoor Devanagari" w:hAnsi="Kohinoor Devanagari" w:cs="Kohinoor Devanagari"/>
          <w:sz w:val="22"/>
          <w:szCs w:val="22"/>
        </w:rPr>
        <w:t>implement</w:t>
      </w:r>
      <w:r w:rsidRPr="00A3573B">
        <w:rPr>
          <w:rFonts w:ascii="Kohinoor Devanagari" w:hAnsi="Kohinoor Devanagari" w:cs="Kohinoor Devanagari"/>
          <w:sz w:val="22"/>
          <w:szCs w:val="22"/>
        </w:rPr>
        <w:t xml:space="preserve"> the systematic disclosure policy:</w:t>
      </w:r>
    </w:p>
    <w:tbl>
      <w:tblPr>
        <w:tblStyle w:val="TableGrid"/>
        <w:tblW w:w="9338" w:type="dxa"/>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2968"/>
        <w:gridCol w:w="1269"/>
        <w:gridCol w:w="5101"/>
      </w:tblGrid>
      <w:tr w:rsidR="001B42A1" w:rsidRPr="00A3573B" w14:paraId="2DDAC965" w14:textId="77777777" w:rsidTr="1F8DF0C2">
        <w:trPr>
          <w:tblHeader/>
        </w:trPr>
        <w:tc>
          <w:tcPr>
            <w:tcW w:w="2968" w:type="dxa"/>
            <w:shd w:val="clear" w:color="auto" w:fill="748A96"/>
            <w:hideMark/>
          </w:tcPr>
          <w:p w14:paraId="67E52697" w14:textId="77777777" w:rsidR="00475F03" w:rsidRPr="00A3573B" w:rsidRDefault="00475F03" w:rsidP="00AD02BC">
            <w:pPr>
              <w:spacing w:before="60" w:after="60"/>
              <w:jc w:val="both"/>
              <w:rPr>
                <w:rFonts w:ascii="Kohinoor Devanagari" w:hAnsi="Kohinoor Devanagari" w:cs="Kohinoor Devanagari"/>
                <w:b/>
                <w:bCs/>
                <w:color w:val="FFFFFF" w:themeColor="background1"/>
                <w:sz w:val="22"/>
                <w:szCs w:val="22"/>
                <w:lang w:val="fr-FR"/>
              </w:rPr>
            </w:pPr>
            <w:r w:rsidRPr="00A3573B">
              <w:rPr>
                <w:rFonts w:ascii="Kohinoor Devanagari" w:hAnsi="Kohinoor Devanagari" w:cs="Kohinoor Devanagari"/>
                <w:b/>
                <w:bCs/>
                <w:color w:val="FFFFFF" w:themeColor="background1"/>
                <w:sz w:val="22"/>
                <w:szCs w:val="22"/>
                <w:lang w:val="fr-FR"/>
              </w:rPr>
              <w:t>Phase</w:t>
            </w:r>
          </w:p>
        </w:tc>
        <w:tc>
          <w:tcPr>
            <w:tcW w:w="1269" w:type="dxa"/>
            <w:shd w:val="clear" w:color="auto" w:fill="748A96"/>
            <w:hideMark/>
          </w:tcPr>
          <w:p w14:paraId="5D065F79" w14:textId="77777777" w:rsidR="00475F03" w:rsidRPr="00A3573B" w:rsidRDefault="00475F03" w:rsidP="00AD02BC">
            <w:pPr>
              <w:spacing w:before="60" w:after="60"/>
              <w:jc w:val="both"/>
              <w:rPr>
                <w:rFonts w:ascii="Kohinoor Devanagari" w:hAnsi="Kohinoor Devanagari" w:cs="Kohinoor Devanagari"/>
                <w:b/>
                <w:bCs/>
                <w:color w:val="FFFFFF" w:themeColor="background1"/>
                <w:sz w:val="22"/>
                <w:szCs w:val="22"/>
                <w:lang w:val="fr-FR"/>
              </w:rPr>
            </w:pPr>
            <w:r w:rsidRPr="00A3573B">
              <w:rPr>
                <w:rFonts w:ascii="Kohinoor Devanagari" w:hAnsi="Kohinoor Devanagari" w:cs="Kohinoor Devanagari"/>
                <w:b/>
                <w:bCs/>
                <w:color w:val="FFFFFF" w:themeColor="background1"/>
                <w:sz w:val="22"/>
                <w:szCs w:val="22"/>
                <w:lang w:val="fr-FR"/>
              </w:rPr>
              <w:t>Timeline</w:t>
            </w:r>
          </w:p>
        </w:tc>
        <w:tc>
          <w:tcPr>
            <w:tcW w:w="5101" w:type="dxa"/>
            <w:shd w:val="clear" w:color="auto" w:fill="748A96"/>
            <w:hideMark/>
          </w:tcPr>
          <w:p w14:paraId="58897F05" w14:textId="77777777" w:rsidR="00475F03" w:rsidRPr="00A3573B" w:rsidRDefault="00475F03" w:rsidP="00AD02BC">
            <w:pPr>
              <w:spacing w:before="60" w:after="60"/>
              <w:jc w:val="both"/>
              <w:rPr>
                <w:rFonts w:ascii="Kohinoor Devanagari" w:hAnsi="Kohinoor Devanagari" w:cs="Kohinoor Devanagari"/>
                <w:b/>
                <w:bCs/>
                <w:color w:val="FFFFFF" w:themeColor="background1"/>
                <w:sz w:val="22"/>
                <w:szCs w:val="22"/>
                <w:lang w:val="fr-FR"/>
              </w:rPr>
            </w:pPr>
            <w:r w:rsidRPr="00A3573B">
              <w:rPr>
                <w:rFonts w:ascii="Kohinoor Devanagari" w:hAnsi="Kohinoor Devanagari" w:cs="Kohinoor Devanagari"/>
                <w:b/>
                <w:bCs/>
                <w:color w:val="FFFFFF" w:themeColor="background1"/>
                <w:sz w:val="22"/>
                <w:szCs w:val="22"/>
                <w:lang w:val="fr-FR"/>
              </w:rPr>
              <w:t>Key Actions</w:t>
            </w:r>
          </w:p>
        </w:tc>
      </w:tr>
      <w:tr w:rsidR="004D7DFD" w:rsidRPr="00A3573B" w14:paraId="48A5B45A" w14:textId="77777777" w:rsidTr="1F8DF0C2">
        <w:tc>
          <w:tcPr>
            <w:tcW w:w="2968" w:type="dxa"/>
          </w:tcPr>
          <w:p w14:paraId="4FEF5E70" w14:textId="6B1344DC" w:rsidR="004D7DFD" w:rsidRPr="00A3573B" w:rsidRDefault="0043744E" w:rsidP="0043744E">
            <w:pPr>
              <w:spacing w:before="60" w:after="60"/>
              <w:rPr>
                <w:rFonts w:ascii="Kohinoor Devanagari" w:hAnsi="Kohinoor Devanagari" w:cs="Kohinoor Devanagari"/>
                <w:b/>
                <w:bCs/>
                <w:sz w:val="22"/>
                <w:szCs w:val="22"/>
              </w:rPr>
            </w:pPr>
            <w:r w:rsidRPr="0043744E">
              <w:rPr>
                <w:rFonts w:ascii="Kohinoor Devanagari" w:hAnsi="Kohinoor Devanagari" w:cs="Kohinoor Devanagari"/>
                <w:b/>
                <w:bCs/>
                <w:sz w:val="22"/>
                <w:szCs w:val="22"/>
              </w:rPr>
              <w:t>Phase 1: Setup and Coordination</w:t>
            </w:r>
          </w:p>
        </w:tc>
        <w:tc>
          <w:tcPr>
            <w:tcW w:w="1269" w:type="dxa"/>
          </w:tcPr>
          <w:p w14:paraId="2D06C575" w14:textId="48EC0DB7" w:rsidR="004D7DFD" w:rsidRPr="00771881" w:rsidRDefault="004D7DFD" w:rsidP="00AD02BC">
            <w:pPr>
              <w:spacing w:before="60" w:after="60"/>
              <w:jc w:val="both"/>
              <w:rPr>
                <w:rFonts w:ascii="Kohinoor Devanagari" w:hAnsi="Kohinoor Devanagari" w:cs="Kohinoor Devanagari"/>
                <w:sz w:val="22"/>
                <w:szCs w:val="22"/>
              </w:rPr>
            </w:pPr>
            <w:r w:rsidRPr="00771881">
              <w:rPr>
                <w:rFonts w:ascii="Kohinoor Devanagari" w:hAnsi="Kohinoor Devanagari" w:cs="Kohinoor Devanagari"/>
                <w:sz w:val="22"/>
                <w:szCs w:val="22"/>
              </w:rPr>
              <w:t>0-</w:t>
            </w:r>
            <w:r w:rsidR="00A10FB8" w:rsidRPr="00771881">
              <w:rPr>
                <w:rFonts w:ascii="Kohinoor Devanagari" w:hAnsi="Kohinoor Devanagari" w:cs="Kohinoor Devanagari"/>
                <w:sz w:val="22"/>
                <w:szCs w:val="22"/>
              </w:rPr>
              <w:t>6</w:t>
            </w:r>
            <w:r w:rsidRPr="00771881">
              <w:rPr>
                <w:rFonts w:ascii="Kohinoor Devanagari" w:hAnsi="Kohinoor Devanagari" w:cs="Kohinoor Devanagari"/>
                <w:sz w:val="22"/>
                <w:szCs w:val="22"/>
              </w:rPr>
              <w:t xml:space="preserve"> months</w:t>
            </w:r>
          </w:p>
        </w:tc>
        <w:tc>
          <w:tcPr>
            <w:tcW w:w="5101" w:type="dxa"/>
          </w:tcPr>
          <w:p w14:paraId="4B13E25D" w14:textId="39415208" w:rsidR="00A10FB8" w:rsidRPr="00BE1C69" w:rsidRDefault="0093108B" w:rsidP="0093108B">
            <w:pPr>
              <w:pStyle w:val="ListParagraph"/>
              <w:numPr>
                <w:ilvl w:val="0"/>
                <w:numId w:val="95"/>
              </w:numPr>
              <w:spacing w:before="60" w:after="60"/>
              <w:ind w:left="182" w:hanging="142"/>
              <w:rPr>
                <w:rFonts w:ascii="Kohinoor Devanagari" w:hAnsi="Kohinoor Devanagari" w:cs="Kohinoor Devanagari"/>
                <w:sz w:val="22"/>
                <w:szCs w:val="22"/>
              </w:rPr>
            </w:pPr>
            <w:r w:rsidRPr="00771881">
              <w:rPr>
                <w:rFonts w:ascii="Kohinoor Devanagari" w:hAnsi="Kohinoor Devanagari" w:cs="Kohinoor Devanagari"/>
                <w:b/>
                <w:bCs/>
                <w:sz w:val="22"/>
                <w:szCs w:val="22"/>
              </w:rPr>
              <w:t>Validate the roadmap:</w:t>
            </w:r>
            <w:r>
              <w:rPr>
                <w:rFonts w:ascii="Kohinoor Devanagari" w:hAnsi="Kohinoor Devanagari" w:cs="Kohinoor Devanagari"/>
                <w:sz w:val="22"/>
                <w:szCs w:val="22"/>
              </w:rPr>
              <w:t xml:space="preserve"> </w:t>
            </w:r>
            <w:r w:rsidR="00A10FB8" w:rsidRPr="00BE1C69">
              <w:rPr>
                <w:rFonts w:ascii="Kohinoor Devanagari" w:hAnsi="Kohinoor Devanagari" w:cs="Kohinoor Devanagari"/>
                <w:sz w:val="22"/>
                <w:szCs w:val="22"/>
              </w:rPr>
              <w:t>Finalize and validate the roadmap for systematic disclosure through the MSG and relevant government authorities.</w:t>
            </w:r>
          </w:p>
          <w:p w14:paraId="5E07CB58" w14:textId="6E3108EA" w:rsidR="00A61DCB" w:rsidRDefault="00A61DCB" w:rsidP="00A61DCB">
            <w:pPr>
              <w:pStyle w:val="ListParagraph"/>
              <w:numPr>
                <w:ilvl w:val="0"/>
                <w:numId w:val="95"/>
              </w:numPr>
              <w:spacing w:before="60" w:after="60"/>
              <w:ind w:left="182" w:hanging="142"/>
              <w:rPr>
                <w:rFonts w:ascii="Kohinoor Devanagari" w:hAnsi="Kohinoor Devanagari" w:cs="Kohinoor Devanagari"/>
                <w:sz w:val="22"/>
                <w:szCs w:val="22"/>
              </w:rPr>
            </w:pPr>
            <w:r w:rsidRPr="00A61DCB">
              <w:rPr>
                <w:rFonts w:ascii="Kohinoor Devanagari" w:hAnsi="Kohinoor Devanagari" w:cs="Kohinoor Devanagari"/>
                <w:b/>
                <w:bCs/>
                <w:sz w:val="22"/>
                <w:szCs w:val="22"/>
              </w:rPr>
              <w:t>Resolve the legal basis:</w:t>
            </w:r>
            <w:r w:rsidRPr="00A61DCB">
              <w:rPr>
                <w:rFonts w:ascii="Kohinoor Devanagari" w:hAnsi="Kohinoor Devanagari" w:cs="Kohinoor Devanagari"/>
                <w:sz w:val="22"/>
                <w:szCs w:val="22"/>
              </w:rPr>
              <w:t xml:space="preserve"> Assess the adequacy of Decree No. 86 of 2024 and identify any additional legislative measures needed for implementation.</w:t>
            </w:r>
          </w:p>
          <w:p w14:paraId="036531D3" w14:textId="77777777" w:rsidR="00765B66" w:rsidRDefault="00765B66" w:rsidP="00765B66">
            <w:pPr>
              <w:pStyle w:val="ListParagraph"/>
              <w:numPr>
                <w:ilvl w:val="0"/>
                <w:numId w:val="95"/>
              </w:numPr>
              <w:spacing w:before="60" w:after="60"/>
              <w:ind w:left="182" w:hanging="142"/>
              <w:rPr>
                <w:rFonts w:ascii="Kohinoor Devanagari" w:hAnsi="Kohinoor Devanagari" w:cs="Kohinoor Devanagari"/>
                <w:sz w:val="22"/>
                <w:szCs w:val="22"/>
              </w:rPr>
            </w:pPr>
            <w:r w:rsidRPr="00143A2E">
              <w:rPr>
                <w:rFonts w:ascii="Kohinoor Devanagari" w:hAnsi="Kohinoor Devanagari" w:cs="Kohinoor Devanagari"/>
                <w:b/>
                <w:bCs/>
                <w:sz w:val="22"/>
                <w:szCs w:val="22"/>
              </w:rPr>
              <w:t>Assign focal points:</w:t>
            </w:r>
            <w:r>
              <w:rPr>
                <w:rFonts w:ascii="Kohinoor Devanagari" w:hAnsi="Kohinoor Devanagari" w:cs="Kohinoor Devanagari"/>
                <w:sz w:val="22"/>
                <w:szCs w:val="22"/>
              </w:rPr>
              <w:t xml:space="preserve"> </w:t>
            </w:r>
            <w:r w:rsidRPr="00BE1C69">
              <w:rPr>
                <w:rFonts w:ascii="Kohinoor Devanagari" w:hAnsi="Kohinoor Devanagari" w:cs="Kohinoor Devanagari"/>
                <w:sz w:val="22"/>
                <w:szCs w:val="22"/>
              </w:rPr>
              <w:t>Identify and assign disclosure focal points in key institutions (ministries, SOEs, regulators).</w:t>
            </w:r>
          </w:p>
          <w:p w14:paraId="2D90B2C3" w14:textId="03D9EE66" w:rsidR="00A10FB8" w:rsidRPr="00BE1C69" w:rsidRDefault="00765B66" w:rsidP="00765B66">
            <w:pPr>
              <w:pStyle w:val="ListParagraph"/>
              <w:numPr>
                <w:ilvl w:val="0"/>
                <w:numId w:val="95"/>
              </w:numPr>
              <w:spacing w:before="60" w:after="60"/>
              <w:ind w:left="182" w:hanging="142"/>
              <w:rPr>
                <w:rFonts w:ascii="Kohinoor Devanagari" w:hAnsi="Kohinoor Devanagari" w:cs="Kohinoor Devanagari"/>
                <w:sz w:val="22"/>
                <w:szCs w:val="22"/>
              </w:rPr>
            </w:pPr>
            <w:r w:rsidRPr="00771881">
              <w:rPr>
                <w:rFonts w:ascii="Kohinoor Devanagari" w:hAnsi="Kohinoor Devanagari" w:cs="Kohinoor Devanagari"/>
                <w:b/>
                <w:bCs/>
                <w:sz w:val="22"/>
                <w:szCs w:val="22"/>
              </w:rPr>
              <w:t>Map data flows and mandates</w:t>
            </w:r>
            <w:r>
              <w:rPr>
                <w:rFonts w:ascii="Kohinoor Devanagari" w:hAnsi="Kohinoor Devanagari" w:cs="Kohinoor Devanagari"/>
                <w:sz w:val="22"/>
                <w:szCs w:val="22"/>
              </w:rPr>
              <w:t xml:space="preserve">: </w:t>
            </w:r>
            <w:r w:rsidR="00A10FB8" w:rsidRPr="00BE1C69">
              <w:rPr>
                <w:rFonts w:ascii="Kohinoor Devanagari" w:hAnsi="Kohinoor Devanagari" w:cs="Kohinoor Devanagari"/>
                <w:sz w:val="22"/>
                <w:szCs w:val="22"/>
              </w:rPr>
              <w:t>Conduct a structured mapping of data flows, institutional mandates, and existing disclosure practices across agencies.</w:t>
            </w:r>
          </w:p>
          <w:p w14:paraId="2326AFF1" w14:textId="7E26F218" w:rsidR="00A10FB8" w:rsidRPr="00BE1C69" w:rsidRDefault="00A45E74" w:rsidP="00A45E74">
            <w:pPr>
              <w:pStyle w:val="ListParagraph"/>
              <w:numPr>
                <w:ilvl w:val="0"/>
                <w:numId w:val="95"/>
              </w:numPr>
              <w:spacing w:before="60" w:after="60"/>
              <w:ind w:left="182" w:hanging="142"/>
              <w:rPr>
                <w:rFonts w:ascii="Kohinoor Devanagari" w:hAnsi="Kohinoor Devanagari" w:cs="Kohinoor Devanagari"/>
                <w:sz w:val="22"/>
                <w:szCs w:val="22"/>
              </w:rPr>
            </w:pPr>
            <w:r w:rsidRPr="00C05F5D">
              <w:rPr>
                <w:rFonts w:ascii="Kohinoor Devanagari" w:hAnsi="Kohinoor Devanagari" w:cs="Kohinoor Devanagari"/>
                <w:b/>
                <w:bCs/>
                <w:sz w:val="22"/>
                <w:szCs w:val="22"/>
              </w:rPr>
              <w:t>Draft guidelines and templates:</w:t>
            </w:r>
            <w:r>
              <w:rPr>
                <w:rFonts w:ascii="Kohinoor Devanagari" w:hAnsi="Kohinoor Devanagari" w:cs="Kohinoor Devanagari"/>
                <w:sz w:val="22"/>
                <w:szCs w:val="22"/>
              </w:rPr>
              <w:t xml:space="preserve"> </w:t>
            </w:r>
            <w:r w:rsidR="00A10FB8" w:rsidRPr="00BE1C69">
              <w:rPr>
                <w:rFonts w:ascii="Kohinoor Devanagari" w:hAnsi="Kohinoor Devanagari" w:cs="Kohinoor Devanagari"/>
                <w:sz w:val="22"/>
                <w:szCs w:val="22"/>
              </w:rPr>
              <w:t>Begin drafting operational guidelines and standardized reporting templates in consultation with technical staff and data providers.</w:t>
            </w:r>
          </w:p>
          <w:p w14:paraId="77D1DA04" w14:textId="3600A87A" w:rsidR="004D7DFD" w:rsidRPr="00BE1C69" w:rsidRDefault="00A45E74" w:rsidP="00A45E74">
            <w:pPr>
              <w:pStyle w:val="ListParagraph"/>
              <w:numPr>
                <w:ilvl w:val="0"/>
                <w:numId w:val="95"/>
              </w:numPr>
              <w:spacing w:before="60" w:after="60"/>
              <w:ind w:left="182" w:hanging="142"/>
              <w:rPr>
                <w:rFonts w:ascii="Kohinoor Devanagari" w:hAnsi="Kohinoor Devanagari" w:cs="Kohinoor Devanagari"/>
                <w:sz w:val="22"/>
                <w:szCs w:val="22"/>
              </w:rPr>
            </w:pPr>
            <w:r w:rsidRPr="00C05F5D">
              <w:rPr>
                <w:rFonts w:ascii="Kohinoor Devanagari" w:hAnsi="Kohinoor Devanagari" w:cs="Kohinoor Devanagari"/>
                <w:b/>
                <w:bCs/>
                <w:sz w:val="22"/>
                <w:szCs w:val="22"/>
              </w:rPr>
              <w:t>Establish coordination mechanism</w:t>
            </w:r>
            <w:r w:rsidR="000B1009" w:rsidRPr="00C05F5D">
              <w:rPr>
                <w:rFonts w:ascii="Kohinoor Devanagari" w:hAnsi="Kohinoor Devanagari" w:cs="Kohinoor Devanagari"/>
                <w:b/>
                <w:bCs/>
                <w:sz w:val="22"/>
                <w:szCs w:val="22"/>
              </w:rPr>
              <w:t>s:</w:t>
            </w:r>
            <w:r w:rsidR="000B1009">
              <w:rPr>
                <w:rFonts w:ascii="Kohinoor Devanagari" w:hAnsi="Kohinoor Devanagari" w:cs="Kohinoor Devanagari"/>
                <w:sz w:val="22"/>
                <w:szCs w:val="22"/>
              </w:rPr>
              <w:t xml:space="preserve"> </w:t>
            </w:r>
            <w:r w:rsidR="00A10FB8" w:rsidRPr="00BE1C69">
              <w:rPr>
                <w:rFonts w:ascii="Kohinoor Devanagari" w:hAnsi="Kohinoor Devanagari" w:cs="Kohinoor Devanagari"/>
                <w:sz w:val="22"/>
                <w:szCs w:val="22"/>
              </w:rPr>
              <w:t>Initiate the setup of coordination mechanisms (e.g., technical working groups, inter-agency task forces) to support implementation</w:t>
            </w:r>
          </w:p>
        </w:tc>
      </w:tr>
      <w:tr w:rsidR="000A455A" w:rsidRPr="00A3573B" w14:paraId="219EF096" w14:textId="77777777" w:rsidTr="1F8DF0C2">
        <w:tc>
          <w:tcPr>
            <w:tcW w:w="2968" w:type="dxa"/>
            <w:hideMark/>
          </w:tcPr>
          <w:p w14:paraId="3D6CF4B8" w14:textId="528BEB40" w:rsidR="00475F03" w:rsidRPr="00A3573B" w:rsidRDefault="00475F03" w:rsidP="00A31F98">
            <w:pPr>
              <w:spacing w:before="60" w:after="60"/>
              <w:rPr>
                <w:rFonts w:ascii="Kohinoor Devanagari" w:hAnsi="Kohinoor Devanagari" w:cs="Kohinoor Devanagari"/>
                <w:sz w:val="22"/>
                <w:szCs w:val="22"/>
              </w:rPr>
            </w:pPr>
            <w:r w:rsidRPr="1F8DF0C2">
              <w:rPr>
                <w:rFonts w:ascii="Kohinoor Devanagari" w:hAnsi="Kohinoor Devanagari" w:cs="Kohinoor Devanagari"/>
                <w:b/>
                <w:bCs/>
                <w:sz w:val="22"/>
                <w:szCs w:val="22"/>
              </w:rPr>
              <w:t xml:space="preserve">Phase </w:t>
            </w:r>
            <w:r w:rsidR="06EF07DA" w:rsidRPr="1F8DF0C2">
              <w:rPr>
                <w:rFonts w:ascii="Kohinoor Devanagari" w:hAnsi="Kohinoor Devanagari" w:cs="Kohinoor Devanagari"/>
                <w:b/>
                <w:bCs/>
                <w:sz w:val="22"/>
                <w:szCs w:val="22"/>
              </w:rPr>
              <w:t>2</w:t>
            </w:r>
            <w:r w:rsidRPr="1F8DF0C2">
              <w:rPr>
                <w:rFonts w:ascii="Kohinoor Devanagari" w:hAnsi="Kohinoor Devanagari" w:cs="Kohinoor Devanagari"/>
                <w:b/>
                <w:bCs/>
                <w:sz w:val="22"/>
                <w:szCs w:val="22"/>
              </w:rPr>
              <w:t xml:space="preserve">: </w:t>
            </w:r>
            <w:r w:rsidR="06EF07DA" w:rsidRPr="1F8DF0C2">
              <w:rPr>
                <w:rFonts w:ascii="Kohinoor Devanagari" w:hAnsi="Kohinoor Devanagari" w:cs="Kohinoor Devanagari"/>
                <w:b/>
                <w:bCs/>
                <w:sz w:val="22"/>
                <w:szCs w:val="22"/>
              </w:rPr>
              <w:t>Platform Development and Pilot Disclosure</w:t>
            </w:r>
          </w:p>
        </w:tc>
        <w:tc>
          <w:tcPr>
            <w:tcW w:w="1269" w:type="dxa"/>
            <w:hideMark/>
          </w:tcPr>
          <w:p w14:paraId="17F50632" w14:textId="72EA85A7" w:rsidR="00475F03" w:rsidRPr="00A3573B" w:rsidRDefault="00AE7DA1" w:rsidP="00AD02BC">
            <w:pPr>
              <w:spacing w:before="60" w:after="60"/>
              <w:jc w:val="both"/>
              <w:rPr>
                <w:rFonts w:ascii="Kohinoor Devanagari" w:hAnsi="Kohinoor Devanagari" w:cs="Kohinoor Devanagari"/>
                <w:sz w:val="22"/>
                <w:szCs w:val="22"/>
                <w:lang w:val="fr-FR"/>
              </w:rPr>
            </w:pPr>
            <w:r>
              <w:rPr>
                <w:rFonts w:ascii="Kohinoor Devanagari" w:hAnsi="Kohinoor Devanagari" w:cs="Kohinoor Devanagari"/>
                <w:sz w:val="22"/>
                <w:szCs w:val="22"/>
                <w:lang w:val="fr-FR"/>
              </w:rPr>
              <w:t>3</w:t>
            </w:r>
            <w:r w:rsidR="00475F03" w:rsidRPr="00A3573B">
              <w:rPr>
                <w:rFonts w:ascii="Kohinoor Devanagari" w:hAnsi="Kohinoor Devanagari" w:cs="Kohinoor Devanagari"/>
                <w:sz w:val="22"/>
                <w:szCs w:val="22"/>
                <w:lang w:val="fr-FR"/>
              </w:rPr>
              <w:t xml:space="preserve"> </w:t>
            </w:r>
            <w:r w:rsidR="00771881" w:rsidRPr="00771881">
              <w:rPr>
                <w:rFonts w:ascii="Kohinoor Devanagari" w:hAnsi="Kohinoor Devanagari" w:cs="Kohinoor Devanagari"/>
                <w:sz w:val="22"/>
                <w:szCs w:val="22"/>
              </w:rPr>
              <w:t>months</w:t>
            </w:r>
          </w:p>
        </w:tc>
        <w:tc>
          <w:tcPr>
            <w:tcW w:w="5101" w:type="dxa"/>
            <w:hideMark/>
          </w:tcPr>
          <w:p w14:paraId="02D65248" w14:textId="766C78F2" w:rsidR="00DE23E3" w:rsidRDefault="000B1009" w:rsidP="00F2573A">
            <w:pPr>
              <w:pStyle w:val="ListParagraph"/>
              <w:numPr>
                <w:ilvl w:val="0"/>
                <w:numId w:val="95"/>
              </w:numPr>
              <w:spacing w:before="60" w:after="60"/>
              <w:ind w:left="182" w:hanging="142"/>
              <w:rPr>
                <w:rFonts w:ascii="Kohinoor Devanagari" w:hAnsi="Kohinoor Devanagari" w:cs="Kohinoor Devanagari"/>
                <w:sz w:val="22"/>
                <w:szCs w:val="22"/>
              </w:rPr>
            </w:pPr>
            <w:r w:rsidRPr="00C05F5D">
              <w:rPr>
                <w:rFonts w:ascii="Kohinoor Devanagari" w:hAnsi="Kohinoor Devanagari" w:cs="Kohinoor Devanagari"/>
                <w:b/>
                <w:bCs/>
                <w:sz w:val="22"/>
                <w:szCs w:val="22"/>
              </w:rPr>
              <w:t>Develop the disclosure platform:</w:t>
            </w:r>
            <w:r>
              <w:rPr>
                <w:rFonts w:ascii="Kohinoor Devanagari" w:hAnsi="Kohinoor Devanagari" w:cs="Kohinoor Devanagari"/>
                <w:sz w:val="22"/>
                <w:szCs w:val="22"/>
              </w:rPr>
              <w:t xml:space="preserve"> </w:t>
            </w:r>
            <w:r w:rsidR="00F2573A" w:rsidRPr="00F2573A">
              <w:rPr>
                <w:rFonts w:ascii="Kohinoor Devanagari" w:hAnsi="Kohinoor Devanagari" w:cs="Kohinoor Devanagari"/>
                <w:sz w:val="22"/>
                <w:szCs w:val="22"/>
              </w:rPr>
              <w:t>Design or upgrade a centralized online disclosure portal (e.g., the IEITI website) to serve as an aggregator and access point for systematically disclosed data. The platform will not serve as the original source of the data but will ensure unified access to datasets that are published at source by the responsible entities.</w:t>
            </w:r>
          </w:p>
          <w:p w14:paraId="4AF13F7E" w14:textId="696A75D8" w:rsidR="00DE23E3" w:rsidRDefault="001E2B3B" w:rsidP="001E2B3B">
            <w:pPr>
              <w:pStyle w:val="ListParagraph"/>
              <w:numPr>
                <w:ilvl w:val="0"/>
                <w:numId w:val="95"/>
              </w:numPr>
              <w:spacing w:before="60" w:after="60"/>
              <w:ind w:left="182" w:hanging="142"/>
              <w:rPr>
                <w:rFonts w:ascii="Kohinoor Devanagari" w:hAnsi="Kohinoor Devanagari" w:cs="Kohinoor Devanagari"/>
                <w:sz w:val="22"/>
                <w:szCs w:val="22"/>
              </w:rPr>
            </w:pPr>
            <w:r w:rsidRPr="00C05F5D">
              <w:rPr>
                <w:rFonts w:ascii="Kohinoor Devanagari" w:hAnsi="Kohinoor Devanagari" w:cs="Kohinoor Devanagari"/>
                <w:b/>
                <w:bCs/>
                <w:sz w:val="22"/>
                <w:szCs w:val="22"/>
              </w:rPr>
              <w:t>Publish pilot datasets:</w:t>
            </w:r>
            <w:r>
              <w:rPr>
                <w:rFonts w:ascii="Kohinoor Devanagari" w:hAnsi="Kohinoor Devanagari" w:cs="Kohinoor Devanagari"/>
                <w:sz w:val="22"/>
                <w:szCs w:val="22"/>
              </w:rPr>
              <w:t xml:space="preserve"> </w:t>
            </w:r>
            <w:r w:rsidR="00B312D0" w:rsidRPr="00BE1C69">
              <w:rPr>
                <w:rFonts w:ascii="Kohinoor Devanagari" w:hAnsi="Kohinoor Devanagari" w:cs="Kohinoor Devanagari"/>
                <w:sz w:val="22"/>
                <w:szCs w:val="22"/>
              </w:rPr>
              <w:t>Publish a first wave of available datasets (e.g., oil production, export volumes, revenue flows) in accessible formats (CSV, Excel, PDF).</w:t>
            </w:r>
          </w:p>
          <w:p w14:paraId="587700A9" w14:textId="3490F1A3" w:rsidR="00DE23E3" w:rsidRDefault="001E2B3B" w:rsidP="001E2B3B">
            <w:pPr>
              <w:pStyle w:val="ListParagraph"/>
              <w:numPr>
                <w:ilvl w:val="0"/>
                <w:numId w:val="95"/>
              </w:numPr>
              <w:spacing w:before="60" w:after="60"/>
              <w:ind w:left="182" w:hanging="142"/>
              <w:rPr>
                <w:rFonts w:ascii="Kohinoor Devanagari" w:hAnsi="Kohinoor Devanagari" w:cs="Kohinoor Devanagari"/>
                <w:sz w:val="22"/>
                <w:szCs w:val="22"/>
              </w:rPr>
            </w:pPr>
            <w:r w:rsidRPr="00C05F5D">
              <w:rPr>
                <w:rFonts w:ascii="Kohinoor Devanagari" w:hAnsi="Kohinoor Devanagari" w:cs="Kohinoor Devanagari"/>
                <w:b/>
                <w:bCs/>
                <w:sz w:val="22"/>
                <w:szCs w:val="22"/>
              </w:rPr>
              <w:t>Standardize data templates:</w:t>
            </w:r>
            <w:r>
              <w:rPr>
                <w:rFonts w:ascii="Kohinoor Devanagari" w:hAnsi="Kohinoor Devanagari" w:cs="Kohinoor Devanagari"/>
                <w:sz w:val="22"/>
                <w:szCs w:val="22"/>
              </w:rPr>
              <w:t xml:space="preserve"> </w:t>
            </w:r>
            <w:r w:rsidR="00B312D0" w:rsidRPr="00BE1C69">
              <w:rPr>
                <w:rFonts w:ascii="Kohinoor Devanagari" w:hAnsi="Kohinoor Devanagari" w:cs="Kohinoor Devanagari"/>
                <w:sz w:val="22"/>
                <w:szCs w:val="22"/>
              </w:rPr>
              <w:t>Finalize and deploy standard data collection templates to improve consistency across reporting entities</w:t>
            </w:r>
            <w:r w:rsidR="00DE23E3">
              <w:rPr>
                <w:rFonts w:ascii="Kohinoor Devanagari" w:hAnsi="Kohinoor Devanagari" w:cs="Kohinoor Devanagari"/>
                <w:sz w:val="22"/>
                <w:szCs w:val="22"/>
              </w:rPr>
              <w:t>.</w:t>
            </w:r>
          </w:p>
          <w:p w14:paraId="2DFB6D5A" w14:textId="0DB3715F" w:rsidR="00475F03" w:rsidRPr="00BE1C69" w:rsidRDefault="001E2B3B" w:rsidP="001E2B3B">
            <w:pPr>
              <w:pStyle w:val="ListParagraph"/>
              <w:numPr>
                <w:ilvl w:val="0"/>
                <w:numId w:val="95"/>
              </w:numPr>
              <w:spacing w:before="60" w:after="60"/>
              <w:ind w:left="182" w:hanging="142"/>
              <w:rPr>
                <w:rFonts w:ascii="Kohinoor Devanagari" w:hAnsi="Kohinoor Devanagari" w:cs="Kohinoor Devanagari"/>
                <w:sz w:val="22"/>
                <w:szCs w:val="22"/>
              </w:rPr>
            </w:pPr>
            <w:r w:rsidRPr="00C05F5D">
              <w:rPr>
                <w:rFonts w:ascii="Kohinoor Devanagari" w:hAnsi="Kohinoor Devanagari" w:cs="Kohinoor Devanagari"/>
                <w:b/>
                <w:bCs/>
                <w:sz w:val="22"/>
                <w:szCs w:val="22"/>
              </w:rPr>
              <w:t>Establish data-sharing protocols:</w:t>
            </w:r>
            <w:r>
              <w:rPr>
                <w:rFonts w:ascii="Kohinoor Devanagari" w:hAnsi="Kohinoor Devanagari" w:cs="Kohinoor Devanagari"/>
                <w:sz w:val="22"/>
                <w:szCs w:val="22"/>
              </w:rPr>
              <w:t xml:space="preserve"> </w:t>
            </w:r>
            <w:r w:rsidR="00B312D0" w:rsidRPr="00BE1C69">
              <w:rPr>
                <w:rFonts w:ascii="Kohinoor Devanagari" w:hAnsi="Kohinoor Devanagari" w:cs="Kohinoor Devanagari"/>
                <w:sz w:val="22"/>
                <w:szCs w:val="22"/>
              </w:rPr>
              <w:t>Define data-sharing protocols to support interoperability and sustainability.</w:t>
            </w:r>
          </w:p>
        </w:tc>
      </w:tr>
      <w:tr w:rsidR="000A455A" w:rsidRPr="00A3573B" w14:paraId="6FE1C3DC" w14:textId="77777777" w:rsidTr="1F8DF0C2">
        <w:tc>
          <w:tcPr>
            <w:tcW w:w="2968" w:type="dxa"/>
            <w:hideMark/>
          </w:tcPr>
          <w:p w14:paraId="69806AA1" w14:textId="00BD2F63" w:rsidR="00475F03" w:rsidRPr="00A3573B" w:rsidRDefault="00475F03" w:rsidP="00D10A0F">
            <w:pPr>
              <w:spacing w:before="60" w:after="60"/>
              <w:rPr>
                <w:rFonts w:ascii="Kohinoor Devanagari" w:hAnsi="Kohinoor Devanagari" w:cs="Kohinoor Devanagari"/>
                <w:sz w:val="22"/>
                <w:szCs w:val="22"/>
              </w:rPr>
            </w:pPr>
            <w:r w:rsidRPr="00A3573B">
              <w:rPr>
                <w:rFonts w:ascii="Kohinoor Devanagari" w:hAnsi="Kohinoor Devanagari" w:cs="Kohinoor Devanagari"/>
                <w:b/>
                <w:bCs/>
                <w:sz w:val="22"/>
                <w:szCs w:val="22"/>
              </w:rPr>
              <w:t xml:space="preserve">Phase </w:t>
            </w:r>
            <w:r w:rsidR="00D10A0F">
              <w:rPr>
                <w:rFonts w:ascii="Kohinoor Devanagari" w:hAnsi="Kohinoor Devanagari" w:cs="Kohinoor Devanagari"/>
                <w:b/>
                <w:bCs/>
                <w:sz w:val="22"/>
                <w:szCs w:val="22"/>
              </w:rPr>
              <w:t>3</w:t>
            </w:r>
            <w:r w:rsidRPr="00A3573B">
              <w:rPr>
                <w:rFonts w:ascii="Kohinoor Devanagari" w:hAnsi="Kohinoor Devanagari" w:cs="Kohinoor Devanagari"/>
                <w:b/>
                <w:bCs/>
                <w:sz w:val="22"/>
                <w:szCs w:val="22"/>
              </w:rPr>
              <w:t xml:space="preserve">: </w:t>
            </w:r>
            <w:r w:rsidR="00D10A0F" w:rsidRPr="00D10A0F">
              <w:rPr>
                <w:rFonts w:ascii="Kohinoor Devanagari" w:hAnsi="Kohinoor Devanagari" w:cs="Kohinoor Devanagari"/>
                <w:b/>
                <w:bCs/>
                <w:sz w:val="22"/>
                <w:szCs w:val="22"/>
              </w:rPr>
              <w:t>Capacity Strengthening and Stakeholder Engagement</w:t>
            </w:r>
          </w:p>
        </w:tc>
        <w:tc>
          <w:tcPr>
            <w:tcW w:w="1269" w:type="dxa"/>
            <w:hideMark/>
          </w:tcPr>
          <w:p w14:paraId="7E878EE8" w14:textId="354D1F80" w:rsidR="00475F03" w:rsidRPr="00A3573B" w:rsidRDefault="00D10A0F" w:rsidP="00AD02BC">
            <w:pPr>
              <w:spacing w:before="60" w:after="60"/>
              <w:jc w:val="both"/>
              <w:rPr>
                <w:rFonts w:ascii="Kohinoor Devanagari" w:hAnsi="Kohinoor Devanagari" w:cs="Kohinoor Devanagari"/>
                <w:sz w:val="22"/>
                <w:szCs w:val="22"/>
                <w:lang w:val="fr-FR"/>
              </w:rPr>
            </w:pPr>
            <w:r>
              <w:rPr>
                <w:rFonts w:ascii="Kohinoor Devanagari" w:hAnsi="Kohinoor Devanagari" w:cs="Kohinoor Devanagari"/>
                <w:sz w:val="22"/>
                <w:szCs w:val="22"/>
                <w:lang w:val="fr-FR"/>
              </w:rPr>
              <w:t>12</w:t>
            </w:r>
            <w:r w:rsidR="00475F03" w:rsidRPr="00A3573B">
              <w:rPr>
                <w:rFonts w:ascii="Kohinoor Devanagari" w:hAnsi="Kohinoor Devanagari" w:cs="Kohinoor Devanagari"/>
                <w:sz w:val="22"/>
                <w:szCs w:val="22"/>
                <w:lang w:val="fr-FR"/>
              </w:rPr>
              <w:t>-</w:t>
            </w:r>
            <w:r>
              <w:rPr>
                <w:rFonts w:ascii="Kohinoor Devanagari" w:hAnsi="Kohinoor Devanagari" w:cs="Kohinoor Devanagari"/>
                <w:sz w:val="22"/>
                <w:szCs w:val="22"/>
                <w:lang w:val="fr-FR"/>
              </w:rPr>
              <w:t>18</w:t>
            </w:r>
            <w:r w:rsidR="00475F03" w:rsidRPr="00A3573B">
              <w:rPr>
                <w:rFonts w:ascii="Kohinoor Devanagari" w:hAnsi="Kohinoor Devanagari" w:cs="Kohinoor Devanagari"/>
                <w:sz w:val="22"/>
                <w:szCs w:val="22"/>
                <w:lang w:val="fr-FR"/>
              </w:rPr>
              <w:t xml:space="preserve"> </w:t>
            </w:r>
            <w:r w:rsidR="00771881" w:rsidRPr="00771881">
              <w:rPr>
                <w:rFonts w:ascii="Kohinoor Devanagari" w:hAnsi="Kohinoor Devanagari" w:cs="Kohinoor Devanagari"/>
                <w:sz w:val="22"/>
                <w:szCs w:val="22"/>
              </w:rPr>
              <w:t>months</w:t>
            </w:r>
          </w:p>
        </w:tc>
        <w:tc>
          <w:tcPr>
            <w:tcW w:w="5101" w:type="dxa"/>
            <w:hideMark/>
          </w:tcPr>
          <w:p w14:paraId="292AA821" w14:textId="039FFDDD" w:rsidR="005D45CA" w:rsidRDefault="00A336AF" w:rsidP="00A336AF">
            <w:pPr>
              <w:pStyle w:val="ListParagraph"/>
              <w:numPr>
                <w:ilvl w:val="0"/>
                <w:numId w:val="95"/>
              </w:numPr>
              <w:spacing w:before="60" w:after="60"/>
              <w:ind w:left="182" w:hanging="142"/>
              <w:rPr>
                <w:rFonts w:ascii="Kohinoor Devanagari" w:hAnsi="Kohinoor Devanagari" w:cs="Kohinoor Devanagari"/>
                <w:sz w:val="22"/>
                <w:szCs w:val="22"/>
              </w:rPr>
            </w:pPr>
            <w:r w:rsidRPr="00C05F5D">
              <w:rPr>
                <w:rFonts w:ascii="Kohinoor Devanagari" w:hAnsi="Kohinoor Devanagari" w:cs="Kohinoor Devanagari"/>
                <w:b/>
                <w:bCs/>
                <w:sz w:val="22"/>
                <w:szCs w:val="22"/>
              </w:rPr>
              <w:t>Conduct training sessions:</w:t>
            </w:r>
            <w:r>
              <w:rPr>
                <w:rFonts w:ascii="Kohinoor Devanagari" w:hAnsi="Kohinoor Devanagari" w:cs="Kohinoor Devanagari"/>
                <w:sz w:val="22"/>
                <w:szCs w:val="22"/>
              </w:rPr>
              <w:t xml:space="preserve"> </w:t>
            </w:r>
            <w:r w:rsidR="00DE23E3" w:rsidRPr="00BE1C69">
              <w:rPr>
                <w:rFonts w:ascii="Kohinoor Devanagari" w:hAnsi="Kohinoor Devanagari" w:cs="Kohinoor Devanagari"/>
                <w:sz w:val="22"/>
                <w:szCs w:val="22"/>
              </w:rPr>
              <w:t>Deliver targeted capacity-building sessions for government institutions, SOEs, and data managers on systematic disclosure requirements and tools</w:t>
            </w:r>
            <w:r w:rsidR="005D45CA">
              <w:rPr>
                <w:rFonts w:ascii="Kohinoor Devanagari" w:hAnsi="Kohinoor Devanagari" w:cs="Kohinoor Devanagari"/>
                <w:sz w:val="22"/>
                <w:szCs w:val="22"/>
              </w:rPr>
              <w:t xml:space="preserve">. </w:t>
            </w:r>
          </w:p>
          <w:p w14:paraId="4122EF20" w14:textId="18FC137C" w:rsidR="005D45CA" w:rsidRDefault="00DB582B" w:rsidP="00DB582B">
            <w:pPr>
              <w:pStyle w:val="ListParagraph"/>
              <w:numPr>
                <w:ilvl w:val="0"/>
                <w:numId w:val="95"/>
              </w:numPr>
              <w:spacing w:before="60" w:after="60"/>
              <w:ind w:left="182" w:hanging="142"/>
              <w:rPr>
                <w:rFonts w:ascii="Kohinoor Devanagari" w:hAnsi="Kohinoor Devanagari" w:cs="Kohinoor Devanagari"/>
                <w:sz w:val="22"/>
                <w:szCs w:val="22"/>
              </w:rPr>
            </w:pPr>
            <w:r w:rsidRPr="0047083A">
              <w:rPr>
                <w:rFonts w:ascii="Kohinoor Devanagari" w:hAnsi="Kohinoor Devanagari" w:cs="Kohinoor Devanagari"/>
                <w:b/>
                <w:bCs/>
                <w:sz w:val="22"/>
                <w:szCs w:val="22"/>
              </w:rPr>
              <w:t>Create user-friendly guides:</w:t>
            </w:r>
            <w:r>
              <w:rPr>
                <w:rFonts w:ascii="Kohinoor Devanagari" w:hAnsi="Kohinoor Devanagari" w:cs="Kohinoor Devanagari"/>
                <w:sz w:val="22"/>
                <w:szCs w:val="22"/>
              </w:rPr>
              <w:t xml:space="preserve"> </w:t>
            </w:r>
            <w:r w:rsidR="00DE23E3" w:rsidRPr="00BE1C69">
              <w:rPr>
                <w:rFonts w:ascii="Kohinoor Devanagari" w:hAnsi="Kohinoor Devanagari" w:cs="Kohinoor Devanagari"/>
                <w:sz w:val="22"/>
                <w:szCs w:val="22"/>
              </w:rPr>
              <w:t>Develop user guides and simplified documentation to support data interpretation by non-technical audiences.</w:t>
            </w:r>
          </w:p>
          <w:p w14:paraId="3182541E" w14:textId="177C4A00" w:rsidR="00036AA7" w:rsidRPr="00BE1C69" w:rsidRDefault="00DB582B" w:rsidP="00DB582B">
            <w:pPr>
              <w:pStyle w:val="ListParagraph"/>
              <w:numPr>
                <w:ilvl w:val="0"/>
                <w:numId w:val="95"/>
              </w:numPr>
              <w:spacing w:before="60" w:after="60"/>
              <w:ind w:left="182" w:hanging="142"/>
              <w:rPr>
                <w:rFonts w:ascii="Kohinoor Devanagari" w:hAnsi="Kohinoor Devanagari" w:cs="Kohinoor Devanagari"/>
                <w:sz w:val="22"/>
                <w:szCs w:val="22"/>
              </w:rPr>
            </w:pPr>
            <w:r w:rsidRPr="0047083A">
              <w:rPr>
                <w:rFonts w:ascii="Kohinoor Devanagari" w:hAnsi="Kohinoor Devanagari" w:cs="Kohinoor Devanagari"/>
                <w:b/>
                <w:bCs/>
                <w:sz w:val="22"/>
                <w:szCs w:val="22"/>
              </w:rPr>
              <w:t>Establish a feedback mechanism:</w:t>
            </w:r>
            <w:r>
              <w:rPr>
                <w:rFonts w:ascii="Kohinoor Devanagari" w:hAnsi="Kohinoor Devanagari" w:cs="Kohinoor Devanagari"/>
                <w:sz w:val="22"/>
                <w:szCs w:val="22"/>
              </w:rPr>
              <w:t xml:space="preserve"> </w:t>
            </w:r>
            <w:r w:rsidR="00DE23E3" w:rsidRPr="00BE1C69">
              <w:rPr>
                <w:rFonts w:ascii="Kohinoor Devanagari" w:hAnsi="Kohinoor Devanagari" w:cs="Kohinoor Devanagari"/>
                <w:sz w:val="22"/>
                <w:szCs w:val="22"/>
              </w:rPr>
              <w:t xml:space="preserve">Launch a basic public feedback and inquiry mechanism to collect user input and flag inconsistencies or data gaps. </w:t>
            </w:r>
          </w:p>
        </w:tc>
      </w:tr>
      <w:tr w:rsidR="000A455A" w:rsidRPr="00A3573B" w14:paraId="5F06DAEB" w14:textId="77777777" w:rsidTr="1F8DF0C2">
        <w:tc>
          <w:tcPr>
            <w:tcW w:w="2968" w:type="dxa"/>
            <w:hideMark/>
          </w:tcPr>
          <w:p w14:paraId="76FFF784" w14:textId="77777777" w:rsidR="00475F03" w:rsidRPr="00A3573B" w:rsidRDefault="00475F03" w:rsidP="00AD02BC">
            <w:pPr>
              <w:spacing w:before="60" w:after="60"/>
              <w:rPr>
                <w:rFonts w:ascii="Kohinoor Devanagari" w:hAnsi="Kohinoor Devanagari" w:cs="Kohinoor Devanagari"/>
                <w:sz w:val="22"/>
                <w:szCs w:val="22"/>
              </w:rPr>
            </w:pPr>
            <w:r w:rsidRPr="00A3573B">
              <w:rPr>
                <w:rFonts w:ascii="Kohinoor Devanagari" w:hAnsi="Kohinoor Devanagari" w:cs="Kohinoor Devanagari"/>
                <w:b/>
                <w:bCs/>
                <w:sz w:val="22"/>
                <w:szCs w:val="22"/>
              </w:rPr>
              <w:t>Phase 4: Evaluation and Continuous Improvement</w:t>
            </w:r>
          </w:p>
        </w:tc>
        <w:tc>
          <w:tcPr>
            <w:tcW w:w="1269" w:type="dxa"/>
            <w:hideMark/>
          </w:tcPr>
          <w:p w14:paraId="54C78208" w14:textId="41377076" w:rsidR="00475F03" w:rsidRPr="00A3573B" w:rsidRDefault="00E771B1" w:rsidP="00AD02BC">
            <w:pPr>
              <w:spacing w:before="60" w:after="60"/>
              <w:jc w:val="both"/>
              <w:rPr>
                <w:rFonts w:ascii="Kohinoor Devanagari" w:hAnsi="Kohinoor Devanagari" w:cs="Kohinoor Devanagari"/>
                <w:sz w:val="22"/>
                <w:szCs w:val="22"/>
                <w:lang w:val="fr-FR"/>
              </w:rPr>
            </w:pPr>
            <w:r>
              <w:rPr>
                <w:rFonts w:ascii="Kohinoor Devanagari" w:hAnsi="Kohinoor Devanagari" w:cs="Kohinoor Devanagari"/>
                <w:sz w:val="22"/>
                <w:szCs w:val="22"/>
                <w:lang w:val="fr-FR"/>
              </w:rPr>
              <w:t>18-</w:t>
            </w:r>
            <w:r w:rsidR="00475F03" w:rsidRPr="00A3573B">
              <w:rPr>
                <w:rFonts w:ascii="Kohinoor Devanagari" w:hAnsi="Kohinoor Devanagari" w:cs="Kohinoor Devanagari"/>
                <w:sz w:val="22"/>
                <w:szCs w:val="22"/>
                <w:lang w:val="fr-FR"/>
              </w:rPr>
              <w:t xml:space="preserve">24+ </w:t>
            </w:r>
            <w:r w:rsidR="0047083A" w:rsidRPr="00771881">
              <w:rPr>
                <w:rFonts w:ascii="Kohinoor Devanagari" w:hAnsi="Kohinoor Devanagari" w:cs="Kohinoor Devanagari"/>
                <w:sz w:val="22"/>
                <w:szCs w:val="22"/>
              </w:rPr>
              <w:t>months</w:t>
            </w:r>
          </w:p>
        </w:tc>
        <w:tc>
          <w:tcPr>
            <w:tcW w:w="5101" w:type="dxa"/>
            <w:hideMark/>
          </w:tcPr>
          <w:p w14:paraId="3F76759C" w14:textId="77777777" w:rsidR="002347AC" w:rsidRPr="00EE62CD" w:rsidRDefault="00475F03" w:rsidP="00100A81">
            <w:pPr>
              <w:spacing w:before="60" w:after="60"/>
              <w:rPr>
                <w:rFonts w:ascii="Kohinoor Devanagari" w:hAnsi="Kohinoor Devanagari" w:cs="Kohinoor Devanagari"/>
                <w:sz w:val="22"/>
                <w:szCs w:val="22"/>
              </w:rPr>
            </w:pPr>
            <w:r w:rsidRPr="00EE62CD">
              <w:rPr>
                <w:rFonts w:ascii="Kohinoor Devanagari" w:hAnsi="Kohinoor Devanagari" w:cs="Kohinoor Devanagari"/>
                <w:sz w:val="22"/>
                <w:szCs w:val="22"/>
              </w:rPr>
              <w:t xml:space="preserve">- </w:t>
            </w:r>
            <w:r w:rsidRPr="0047083A">
              <w:rPr>
                <w:rFonts w:ascii="Kohinoor Devanagari" w:hAnsi="Kohinoor Devanagari" w:cs="Kohinoor Devanagari"/>
                <w:b/>
                <w:bCs/>
                <w:sz w:val="22"/>
                <w:szCs w:val="22"/>
              </w:rPr>
              <w:t>Conduct a mid-term review</w:t>
            </w:r>
            <w:r w:rsidRPr="00EE62CD">
              <w:rPr>
                <w:rFonts w:ascii="Kohinoor Devanagari" w:hAnsi="Kohinoor Devanagari" w:cs="Kohinoor Devanagari"/>
                <w:sz w:val="22"/>
                <w:szCs w:val="22"/>
              </w:rPr>
              <w:t xml:space="preserve"> of policy implementation.</w:t>
            </w:r>
          </w:p>
          <w:p w14:paraId="6E2A8828" w14:textId="3CC423EC" w:rsidR="002347AC" w:rsidRPr="00EE62CD" w:rsidRDefault="00475F03" w:rsidP="00C377BC">
            <w:pPr>
              <w:spacing w:before="60" w:after="60"/>
              <w:rPr>
                <w:rFonts w:ascii="Kohinoor Devanagari" w:hAnsi="Kohinoor Devanagari" w:cs="Kohinoor Devanagari"/>
                <w:sz w:val="22"/>
                <w:szCs w:val="22"/>
              </w:rPr>
            </w:pPr>
            <w:r w:rsidRPr="00EE62CD">
              <w:rPr>
                <w:rFonts w:ascii="Kohinoor Devanagari" w:hAnsi="Kohinoor Devanagari" w:cs="Kohinoor Devanagari"/>
                <w:sz w:val="22"/>
                <w:szCs w:val="22"/>
              </w:rPr>
              <w:t xml:space="preserve">- </w:t>
            </w:r>
            <w:r w:rsidR="005163B2" w:rsidRPr="0047083A">
              <w:rPr>
                <w:rFonts w:ascii="Kohinoor Devanagari" w:hAnsi="Kohinoor Devanagari" w:cs="Kohinoor Devanagari"/>
                <w:b/>
                <w:bCs/>
                <w:sz w:val="22"/>
                <w:szCs w:val="22"/>
              </w:rPr>
              <w:t>Adjust the regulatory framework:</w:t>
            </w:r>
            <w:r w:rsidR="005163B2">
              <w:rPr>
                <w:rFonts w:ascii="Kohinoor Devanagari" w:hAnsi="Kohinoor Devanagari" w:cs="Kohinoor Devanagari"/>
                <w:sz w:val="22"/>
                <w:szCs w:val="22"/>
              </w:rPr>
              <w:t xml:space="preserve"> </w:t>
            </w:r>
            <w:r w:rsidR="00C377BC" w:rsidRPr="00C377BC">
              <w:rPr>
                <w:rFonts w:ascii="Kohinoor Devanagari" w:hAnsi="Kohinoor Devanagari" w:cs="Kohinoor Devanagari"/>
                <w:sz w:val="22"/>
                <w:szCs w:val="22"/>
              </w:rPr>
              <w:t>Update the policy or related regulations as needed based on the evaluation findings.</w:t>
            </w:r>
          </w:p>
          <w:p w14:paraId="04D44926" w14:textId="194D5F3F" w:rsidR="00475F03" w:rsidRPr="00EE62CD" w:rsidRDefault="00475F03" w:rsidP="00C377BC">
            <w:pPr>
              <w:spacing w:before="60" w:after="60"/>
              <w:rPr>
                <w:rFonts w:ascii="Kohinoor Devanagari" w:hAnsi="Kohinoor Devanagari" w:cs="Kohinoor Devanagari"/>
                <w:sz w:val="22"/>
                <w:szCs w:val="22"/>
              </w:rPr>
            </w:pPr>
            <w:r w:rsidRPr="00EE62CD">
              <w:rPr>
                <w:rFonts w:ascii="Kohinoor Devanagari" w:hAnsi="Kohinoor Devanagari" w:cs="Kohinoor Devanagari"/>
                <w:sz w:val="22"/>
                <w:szCs w:val="22"/>
              </w:rPr>
              <w:t xml:space="preserve">- </w:t>
            </w:r>
            <w:r w:rsidR="00C377BC" w:rsidRPr="0047083A">
              <w:rPr>
                <w:rFonts w:ascii="Kohinoor Devanagari" w:hAnsi="Kohinoor Devanagari" w:cs="Kohinoor Devanagari"/>
                <w:b/>
                <w:bCs/>
                <w:sz w:val="22"/>
                <w:szCs w:val="22"/>
              </w:rPr>
              <w:t>Integrate advanced tools:</w:t>
            </w:r>
            <w:r w:rsidR="00C377BC">
              <w:rPr>
                <w:rFonts w:ascii="Kohinoor Devanagari" w:hAnsi="Kohinoor Devanagari" w:cs="Kohinoor Devanagari"/>
                <w:sz w:val="22"/>
                <w:szCs w:val="22"/>
              </w:rPr>
              <w:t xml:space="preserve"> </w:t>
            </w:r>
            <w:r w:rsidR="00556133" w:rsidRPr="00556133">
              <w:rPr>
                <w:rFonts w:ascii="Kohinoor Devanagari" w:hAnsi="Kohinoor Devanagari" w:cs="Kohinoor Devanagari"/>
                <w:sz w:val="22"/>
                <w:szCs w:val="22"/>
              </w:rPr>
              <w:t>Explore opportunities for integrating more advanced tools (e.g., dashboards, APIs, real-time data feeds) in coordination with national digital strategies.</w:t>
            </w:r>
          </w:p>
        </w:tc>
      </w:tr>
    </w:tbl>
    <w:p w14:paraId="64BCE757" w14:textId="77777777" w:rsidR="00B947AE" w:rsidRDefault="00B947AE">
      <w:pPr>
        <w:rPr>
          <w:rFonts w:ascii="Kohinoor Devanagari" w:eastAsiaTheme="majorEastAsia" w:hAnsi="Kohinoor Devanagari" w:cs="Kohinoor Devanagari"/>
          <w:b/>
          <w:bCs/>
          <w:color w:val="0F4761" w:themeColor="accent1" w:themeShade="BF"/>
          <w:sz w:val="22"/>
          <w:szCs w:val="22"/>
        </w:rPr>
      </w:pPr>
      <w:r>
        <w:rPr>
          <w:rFonts w:ascii="Kohinoor Devanagari" w:hAnsi="Kohinoor Devanagari" w:cs="Kohinoor Devanagari"/>
          <w:b/>
          <w:bCs/>
          <w:sz w:val="22"/>
          <w:szCs w:val="22"/>
        </w:rPr>
        <w:br w:type="page"/>
      </w:r>
    </w:p>
    <w:p w14:paraId="728EDBD1" w14:textId="166967B9" w:rsidR="00475F03" w:rsidRPr="00A3573B" w:rsidRDefault="00475F03" w:rsidP="00497D6D">
      <w:pPr>
        <w:pStyle w:val="Heading2"/>
        <w:numPr>
          <w:ilvl w:val="1"/>
          <w:numId w:val="105"/>
        </w:numPr>
        <w:spacing w:before="120" w:after="120" w:line="240" w:lineRule="auto"/>
        <w:ind w:left="426" w:hanging="426"/>
        <w:jc w:val="both"/>
        <w:rPr>
          <w:rFonts w:ascii="Kohinoor Devanagari" w:hAnsi="Kohinoor Devanagari" w:cs="Kohinoor Devanagari"/>
          <w:b/>
          <w:bCs/>
          <w:sz w:val="22"/>
          <w:szCs w:val="22"/>
        </w:rPr>
      </w:pPr>
      <w:bookmarkStart w:id="41" w:name="_Toc194240180"/>
      <w:r w:rsidRPr="00A3573B">
        <w:rPr>
          <w:rFonts w:ascii="Kohinoor Devanagari" w:hAnsi="Kohinoor Devanagari" w:cs="Kohinoor Devanagari"/>
          <w:b/>
          <w:bCs/>
          <w:sz w:val="22"/>
          <w:szCs w:val="22"/>
        </w:rPr>
        <w:t>Final Remarks</w:t>
      </w:r>
      <w:bookmarkEnd w:id="41"/>
    </w:p>
    <w:p w14:paraId="4A7B2F7E" w14:textId="77777777" w:rsidR="008D1AC0" w:rsidRPr="00BE1C69" w:rsidRDefault="008D1AC0" w:rsidP="00BE1C69">
      <w:pPr>
        <w:spacing w:before="120" w:after="120" w:line="240" w:lineRule="auto"/>
        <w:jc w:val="both"/>
        <w:rPr>
          <w:rFonts w:ascii="Kohinoor Devanagari" w:hAnsi="Kohinoor Devanagari" w:cs="Kohinoor Devanagari"/>
          <w:sz w:val="22"/>
          <w:szCs w:val="22"/>
        </w:rPr>
      </w:pPr>
      <w:r w:rsidRPr="00BE1C69">
        <w:rPr>
          <w:rFonts w:ascii="Kohinoor Devanagari" w:hAnsi="Kohinoor Devanagari" w:cs="Kohinoor Devanagari"/>
          <w:sz w:val="22"/>
          <w:szCs w:val="22"/>
        </w:rPr>
        <w:t>The roadmap provides Iraq with a realistic path to strengthen transparency in the extractive sector through achievable short-term actions. By prioritizing the publication of available data, standardizing reporting tools, and improving coordination among institutions, Iraq can lay the groundwork for systematic disclosure without requiring major legal reforms.</w:t>
      </w:r>
    </w:p>
    <w:p w14:paraId="72D9D667" w14:textId="77777777" w:rsidR="008D1AC0" w:rsidRPr="00BE1C69" w:rsidRDefault="008D1AC0" w:rsidP="00BE1C69">
      <w:pPr>
        <w:spacing w:before="120" w:after="120" w:line="240" w:lineRule="auto"/>
        <w:jc w:val="both"/>
        <w:rPr>
          <w:rFonts w:ascii="Kohinoor Devanagari" w:hAnsi="Kohinoor Devanagari" w:cs="Kohinoor Devanagari"/>
          <w:sz w:val="22"/>
          <w:szCs w:val="22"/>
        </w:rPr>
      </w:pPr>
      <w:r w:rsidRPr="00BE1C69">
        <w:rPr>
          <w:rFonts w:ascii="Kohinoor Devanagari" w:hAnsi="Kohinoor Devanagari" w:cs="Kohinoor Devanagari"/>
          <w:sz w:val="22"/>
          <w:szCs w:val="22"/>
        </w:rPr>
        <w:t>Initial efforts should focus on publishing core datasets, establishing internal reporting mechanisms, and delivering targeted capacity-building. These steps will enhance data consistency, accessibility, and public trust.</w:t>
      </w:r>
    </w:p>
    <w:p w14:paraId="2A032142" w14:textId="77777777" w:rsidR="008D1AC0" w:rsidRPr="00BE1C69" w:rsidRDefault="008D1AC0" w:rsidP="00BE1C69">
      <w:pPr>
        <w:spacing w:before="120" w:after="120" w:line="240" w:lineRule="auto"/>
        <w:jc w:val="both"/>
        <w:rPr>
          <w:rFonts w:ascii="Kohinoor Devanagari" w:hAnsi="Kohinoor Devanagari" w:cs="Kohinoor Devanagari"/>
          <w:sz w:val="22"/>
          <w:szCs w:val="22"/>
        </w:rPr>
      </w:pPr>
      <w:r w:rsidRPr="00BE1C69">
        <w:rPr>
          <w:rFonts w:ascii="Kohinoor Devanagari" w:hAnsi="Kohinoor Devanagari" w:cs="Kohinoor Devanagari"/>
          <w:sz w:val="22"/>
          <w:szCs w:val="22"/>
        </w:rPr>
        <w:t>Sustained political support and inter-agency collaboration will be essential to ensure implementation and enable progressive expansion toward full alignment with the EITI Standard.</w:t>
      </w:r>
    </w:p>
    <w:p w14:paraId="75DF05C8" w14:textId="1E7E11D8" w:rsidR="00475F03" w:rsidRPr="00A3573B" w:rsidRDefault="00475F03" w:rsidP="00475F03">
      <w:pPr>
        <w:spacing w:before="120" w:after="120" w:line="240" w:lineRule="auto"/>
        <w:jc w:val="both"/>
        <w:rPr>
          <w:rFonts w:ascii="Kohinoor Devanagari" w:hAnsi="Kohinoor Devanagari" w:cs="Kohinoor Devanagari"/>
          <w:sz w:val="22"/>
          <w:szCs w:val="22"/>
        </w:rPr>
      </w:pPr>
    </w:p>
    <w:p w14:paraId="45002B81" w14:textId="77777777" w:rsidR="00EA63B2" w:rsidRPr="00A3573B" w:rsidRDefault="00EA63B2">
      <w:pPr>
        <w:rPr>
          <w:rFonts w:ascii="Kohinoor Devanagari" w:hAnsi="Kohinoor Devanagari" w:cs="Kohinoor Devanagari"/>
          <w:sz w:val="22"/>
          <w:szCs w:val="22"/>
        </w:rPr>
      </w:pPr>
      <w:r w:rsidRPr="00A3573B">
        <w:rPr>
          <w:rFonts w:ascii="Kohinoor Devanagari" w:hAnsi="Kohinoor Devanagari" w:cs="Kohinoor Devanagari"/>
          <w:sz w:val="22"/>
          <w:szCs w:val="22"/>
        </w:rPr>
        <w:br w:type="page"/>
      </w:r>
    </w:p>
    <w:p w14:paraId="733CFBBA" w14:textId="396074F4" w:rsidR="00D13032" w:rsidRPr="00A3573B" w:rsidRDefault="00497D6D" w:rsidP="00C33FCF">
      <w:pPr>
        <w:pStyle w:val="Heading1"/>
        <w:shd w:val="clear" w:color="auto" w:fill="61BC4D"/>
        <w:spacing w:before="120" w:after="120" w:line="240" w:lineRule="auto"/>
        <w:ind w:left="567" w:hanging="567"/>
        <w:jc w:val="both"/>
        <w:rPr>
          <w:rFonts w:ascii="Kohinoor Devanagari" w:hAnsi="Kohinoor Devanagari" w:cs="Kohinoor Devanagari"/>
          <w:b/>
          <w:color w:val="FFFFFF" w:themeColor="background1"/>
          <w:kern w:val="0"/>
          <w:sz w:val="22"/>
          <w:szCs w:val="22"/>
          <w14:ligatures w14:val="none"/>
        </w:rPr>
      </w:pPr>
      <w:bookmarkStart w:id="42" w:name="_Toc194240181"/>
      <w:r>
        <w:rPr>
          <w:rFonts w:ascii="Kohinoor Devanagari" w:hAnsi="Kohinoor Devanagari" w:cs="Kohinoor Devanagari"/>
          <w:b/>
          <w:color w:val="FFFFFF" w:themeColor="background1"/>
          <w:kern w:val="0"/>
          <w:sz w:val="22"/>
          <w:szCs w:val="22"/>
          <w14:ligatures w14:val="none"/>
        </w:rPr>
        <w:t>7</w:t>
      </w:r>
      <w:r w:rsidR="00D13032" w:rsidRPr="00A3573B">
        <w:rPr>
          <w:rFonts w:ascii="Kohinoor Devanagari" w:hAnsi="Kohinoor Devanagari" w:cs="Kohinoor Devanagari"/>
          <w:b/>
          <w:color w:val="FFFFFF" w:themeColor="background1"/>
          <w:kern w:val="0"/>
          <w:sz w:val="22"/>
          <w:szCs w:val="22"/>
          <w14:ligatures w14:val="none"/>
        </w:rPr>
        <w:t>. Appendices</w:t>
      </w:r>
      <w:bookmarkEnd w:id="42"/>
    </w:p>
    <w:p w14:paraId="4F990C51" w14:textId="3E4E7BFE" w:rsidR="0063781C" w:rsidRPr="00A3573B" w:rsidRDefault="00CD6133" w:rsidP="00497D6D">
      <w:pPr>
        <w:pStyle w:val="Heading2"/>
        <w:numPr>
          <w:ilvl w:val="1"/>
          <w:numId w:val="106"/>
        </w:numPr>
        <w:spacing w:before="120" w:after="120" w:line="240" w:lineRule="auto"/>
        <w:jc w:val="both"/>
        <w:rPr>
          <w:rFonts w:ascii="Kohinoor Devanagari" w:hAnsi="Kohinoor Devanagari" w:cs="Kohinoor Devanagari"/>
          <w:b/>
          <w:bCs/>
          <w:sz w:val="22"/>
          <w:szCs w:val="22"/>
        </w:rPr>
      </w:pPr>
      <w:bookmarkStart w:id="43" w:name="_Toc194240182"/>
      <w:r w:rsidRPr="00A3573B">
        <w:rPr>
          <w:rFonts w:ascii="Kohinoor Devanagari" w:hAnsi="Kohinoor Devanagari" w:cs="Kohinoor Devanagari"/>
          <w:b/>
          <w:bCs/>
          <w:sz w:val="22"/>
          <w:szCs w:val="22"/>
        </w:rPr>
        <w:t>Iraq EITI Data Disclosure Framework</w:t>
      </w:r>
      <w:bookmarkEnd w:id="43"/>
    </w:p>
    <w:p w14:paraId="0CEE1842" w14:textId="25B33795" w:rsidR="00D335AC" w:rsidRDefault="00D335AC" w:rsidP="00120990">
      <w:pPr>
        <w:jc w:val="both"/>
        <w:rPr>
          <w:rFonts w:ascii="Kohinoor Devanagari" w:hAnsi="Kohinoor Devanagari" w:cs="Kohinoor Devanagari"/>
          <w:sz w:val="22"/>
          <w:szCs w:val="22"/>
        </w:rPr>
      </w:pPr>
      <w:r w:rsidRPr="00120990">
        <w:rPr>
          <w:rFonts w:ascii="Kohinoor Devanagari" w:hAnsi="Kohinoor Devanagari" w:cs="Kohinoor Devanagari"/>
          <w:sz w:val="22"/>
          <w:szCs w:val="22"/>
        </w:rPr>
        <w:t>This annex is an integral part of the systematic disclosure policy and provides detailed specifications on the types, volume, frequency, disaggregation level, responsible entities, and publication channels for the systematic disclosure of extractive sector data in Iraq. This framework ensures full compliance with the EITI Standard 2023 and serves as a reference for monitoring and evaluating disclosure obligations.</w:t>
      </w:r>
    </w:p>
    <w:p w14:paraId="04542549" w14:textId="77777777" w:rsidR="008162C9" w:rsidRDefault="008162C9" w:rsidP="008162C9">
      <w:pPr>
        <w:jc w:val="both"/>
        <w:rPr>
          <w:rFonts w:ascii="Kohinoor Devanagari" w:hAnsi="Kohinoor Devanagari" w:cs="Kohinoor Devanagari"/>
          <w:b/>
          <w:bCs/>
          <w:sz w:val="22"/>
          <w:szCs w:val="22"/>
        </w:rPr>
      </w:pPr>
      <w:r w:rsidRPr="008162C9">
        <w:rPr>
          <w:rFonts w:ascii="Kohinoor Devanagari" w:hAnsi="Kohinoor Devanagari" w:cs="Kohinoor Devanagari"/>
          <w:b/>
          <w:bCs/>
          <w:sz w:val="22"/>
          <w:szCs w:val="22"/>
        </w:rPr>
        <w:t>Integration with the IEITI Website</w:t>
      </w:r>
    </w:p>
    <w:p w14:paraId="72A4C9E5" w14:textId="3F630D80" w:rsidR="008162C9" w:rsidRDefault="008162C9" w:rsidP="008162C9">
      <w:pPr>
        <w:jc w:val="both"/>
        <w:rPr>
          <w:rFonts w:ascii="Kohinoor Devanagari" w:hAnsi="Kohinoor Devanagari" w:cs="Kohinoor Devanagari"/>
          <w:sz w:val="22"/>
          <w:szCs w:val="22"/>
        </w:rPr>
      </w:pPr>
      <w:r w:rsidRPr="008162C9">
        <w:rPr>
          <w:rFonts w:ascii="Kohinoor Devanagari" w:hAnsi="Kohinoor Devanagari" w:cs="Kohinoor Devanagari"/>
          <w:sz w:val="22"/>
          <w:szCs w:val="22"/>
        </w:rPr>
        <w:t xml:space="preserve">The centralized disclosure platform will be developed as a </w:t>
      </w:r>
      <w:r w:rsidRPr="008162C9">
        <w:rPr>
          <w:rFonts w:ascii="Kohinoor Devanagari" w:hAnsi="Kohinoor Devanagari" w:cs="Kohinoor Devanagari"/>
          <w:b/>
          <w:bCs/>
          <w:sz w:val="22"/>
          <w:szCs w:val="22"/>
        </w:rPr>
        <w:t>dedicated section within the existing IEITI website</w:t>
      </w:r>
      <w:r w:rsidRPr="008162C9">
        <w:rPr>
          <w:rFonts w:ascii="Kohinoor Devanagari" w:hAnsi="Kohinoor Devanagari" w:cs="Kohinoor Devanagari"/>
          <w:sz w:val="22"/>
          <w:szCs w:val="22"/>
        </w:rPr>
        <w:t xml:space="preserve">, ensuring seamless navigation and integration with Iraq’s official EITI content. While the platform will not be the original source of data, it will provide unified access to datasets published at source by relevant institutions, in line with the principle of </w:t>
      </w:r>
      <w:r w:rsidR="00F12CF5" w:rsidRPr="008162C9">
        <w:rPr>
          <w:rFonts w:ascii="Kohinoor Devanagari" w:hAnsi="Kohinoor Devanagari" w:cs="Kohinoor Devanagari"/>
          <w:sz w:val="22"/>
          <w:szCs w:val="22"/>
        </w:rPr>
        <w:t>decentralized</w:t>
      </w:r>
      <w:r w:rsidRPr="008162C9">
        <w:rPr>
          <w:rFonts w:ascii="Kohinoor Devanagari" w:hAnsi="Kohinoor Devanagari" w:cs="Kohinoor Devanagari"/>
          <w:sz w:val="22"/>
          <w:szCs w:val="22"/>
        </w:rPr>
        <w:t xml:space="preserve"> disclosure. The platform's architecture will be designed to allow structured data input, metadata tagging, and automated updates where possible, in coordination with national digital strategies.</w:t>
      </w:r>
    </w:p>
    <w:p w14:paraId="539259BB" w14:textId="77777777" w:rsidR="007D79E1" w:rsidRPr="007D79E1" w:rsidRDefault="007D79E1" w:rsidP="007D79E1">
      <w:pPr>
        <w:jc w:val="both"/>
        <w:rPr>
          <w:rFonts w:ascii="Kohinoor Devanagari" w:hAnsi="Kohinoor Devanagari" w:cs="Kohinoor Devanagari"/>
          <w:b/>
          <w:bCs/>
          <w:sz w:val="22"/>
          <w:szCs w:val="22"/>
        </w:rPr>
      </w:pPr>
      <w:r w:rsidRPr="007D79E1">
        <w:rPr>
          <w:rFonts w:ascii="Kohinoor Devanagari" w:hAnsi="Kohinoor Devanagari" w:cs="Kohinoor Devanagari"/>
          <w:b/>
          <w:bCs/>
          <w:sz w:val="22"/>
          <w:szCs w:val="22"/>
        </w:rPr>
        <w:t>Note on Disclosure Frequency</w:t>
      </w:r>
    </w:p>
    <w:p w14:paraId="30894795" w14:textId="77777777" w:rsidR="007D79E1" w:rsidRPr="007D79E1" w:rsidRDefault="007D79E1" w:rsidP="00320C0B">
      <w:pPr>
        <w:spacing w:before="120" w:after="120" w:line="240" w:lineRule="auto"/>
        <w:jc w:val="both"/>
        <w:rPr>
          <w:rFonts w:ascii="Kohinoor Devanagari" w:hAnsi="Kohinoor Devanagari" w:cs="Kohinoor Devanagari"/>
          <w:sz w:val="22"/>
          <w:szCs w:val="22"/>
        </w:rPr>
      </w:pPr>
      <w:r w:rsidRPr="007D79E1">
        <w:rPr>
          <w:rFonts w:ascii="Kohinoor Devanagari" w:hAnsi="Kohinoor Devanagari" w:cs="Kohinoor Devanagari"/>
          <w:sz w:val="22"/>
          <w:szCs w:val="22"/>
        </w:rPr>
        <w:t>To ensure timely and standardized reporting, data disclosures follow these publication timelines:</w:t>
      </w:r>
    </w:p>
    <w:p w14:paraId="1D8BE125" w14:textId="78B7F8E5" w:rsidR="007D79E1" w:rsidRPr="007D79E1" w:rsidRDefault="007D79E1" w:rsidP="00EC5780">
      <w:pPr>
        <w:numPr>
          <w:ilvl w:val="0"/>
          <w:numId w:val="72"/>
        </w:numPr>
        <w:spacing w:before="120" w:after="120" w:line="240" w:lineRule="auto"/>
        <w:jc w:val="both"/>
        <w:rPr>
          <w:rFonts w:ascii="Kohinoor Devanagari" w:hAnsi="Kohinoor Devanagari" w:cs="Kohinoor Devanagari"/>
          <w:sz w:val="22"/>
          <w:szCs w:val="22"/>
        </w:rPr>
      </w:pPr>
      <w:r w:rsidRPr="007D79E1">
        <w:rPr>
          <w:rFonts w:ascii="Kohinoor Devanagari" w:hAnsi="Kohinoor Devanagari" w:cs="Kohinoor Devanagari"/>
          <w:sz w:val="22"/>
          <w:szCs w:val="22"/>
        </w:rPr>
        <w:t xml:space="preserve">Annually: </w:t>
      </w:r>
      <w:r w:rsidR="00EC5780" w:rsidRPr="00EC5780">
        <w:rPr>
          <w:rFonts w:ascii="Kohinoor Devanagari" w:hAnsi="Kohinoor Devanagari" w:cs="Kohinoor Devanagari"/>
          <w:sz w:val="22"/>
          <w:szCs w:val="22"/>
        </w:rPr>
        <w:t>Published by the end of December of the following year, in alignment with the EITI Standard</w:t>
      </w:r>
      <w:r w:rsidRPr="007D79E1">
        <w:rPr>
          <w:rFonts w:ascii="Kohinoor Devanagari" w:hAnsi="Kohinoor Devanagari" w:cs="Kohinoor Devanagari"/>
          <w:sz w:val="22"/>
          <w:szCs w:val="22"/>
        </w:rPr>
        <w:t>.</w:t>
      </w:r>
    </w:p>
    <w:p w14:paraId="1A48FCE5" w14:textId="77777777" w:rsidR="007D79E1" w:rsidRPr="007D79E1" w:rsidRDefault="007D79E1" w:rsidP="00FD2B68">
      <w:pPr>
        <w:numPr>
          <w:ilvl w:val="0"/>
          <w:numId w:val="72"/>
        </w:numPr>
        <w:spacing w:before="120" w:after="120" w:line="240" w:lineRule="auto"/>
        <w:jc w:val="both"/>
        <w:rPr>
          <w:rFonts w:ascii="Kohinoor Devanagari" w:hAnsi="Kohinoor Devanagari" w:cs="Kohinoor Devanagari"/>
          <w:sz w:val="22"/>
          <w:szCs w:val="22"/>
        </w:rPr>
      </w:pPr>
      <w:r w:rsidRPr="007D79E1">
        <w:rPr>
          <w:rFonts w:ascii="Kohinoor Devanagari" w:hAnsi="Kohinoor Devanagari" w:cs="Kohinoor Devanagari"/>
          <w:sz w:val="22"/>
          <w:szCs w:val="22"/>
        </w:rPr>
        <w:t>Quarterly: Published at the end of the month following the end of the quarter.</w:t>
      </w:r>
    </w:p>
    <w:p w14:paraId="7D1A965C" w14:textId="77777777" w:rsidR="007D79E1" w:rsidRPr="007D79E1" w:rsidRDefault="007D79E1" w:rsidP="00FD2B68">
      <w:pPr>
        <w:numPr>
          <w:ilvl w:val="0"/>
          <w:numId w:val="72"/>
        </w:numPr>
        <w:spacing w:before="120" w:after="120" w:line="240" w:lineRule="auto"/>
        <w:jc w:val="both"/>
        <w:rPr>
          <w:rFonts w:ascii="Kohinoor Devanagari" w:hAnsi="Kohinoor Devanagari" w:cs="Kohinoor Devanagari"/>
          <w:sz w:val="22"/>
          <w:szCs w:val="22"/>
        </w:rPr>
      </w:pPr>
      <w:r w:rsidRPr="007D79E1">
        <w:rPr>
          <w:rFonts w:ascii="Kohinoor Devanagari" w:hAnsi="Kohinoor Devanagari" w:cs="Kohinoor Devanagari"/>
          <w:sz w:val="22"/>
          <w:szCs w:val="22"/>
        </w:rPr>
        <w:t>Monthly: Published at the end of the following month.</w:t>
      </w:r>
    </w:p>
    <w:p w14:paraId="000737F8" w14:textId="77777777" w:rsidR="007D79E1" w:rsidRDefault="007D79E1" w:rsidP="00320C0B">
      <w:pPr>
        <w:spacing w:before="120" w:after="120" w:line="240" w:lineRule="auto"/>
        <w:jc w:val="both"/>
        <w:rPr>
          <w:rFonts w:ascii="Kohinoor Devanagari" w:hAnsi="Kohinoor Devanagari" w:cs="Kohinoor Devanagari"/>
          <w:sz w:val="22"/>
          <w:szCs w:val="22"/>
        </w:rPr>
      </w:pPr>
      <w:r w:rsidRPr="007D79E1">
        <w:rPr>
          <w:rFonts w:ascii="Kohinoor Devanagari" w:hAnsi="Kohinoor Devanagari" w:cs="Kohinoor Devanagari"/>
          <w:sz w:val="22"/>
          <w:szCs w:val="22"/>
        </w:rPr>
        <w:t>These timelines apply to all disclosure categories listed in the framework, ensuring consistency across reporting entities.</w:t>
      </w:r>
    </w:p>
    <w:p w14:paraId="2BA79DC0" w14:textId="77777777" w:rsidR="00802B2B" w:rsidRDefault="00802B2B">
      <w:pPr>
        <w:rPr>
          <w:rFonts w:ascii="Kohinoor Devanagari" w:eastAsiaTheme="majorEastAsia" w:hAnsi="Kohinoor Devanagari" w:cs="Kohinoor Devanagari"/>
          <w:b/>
          <w:bCs/>
          <w:i/>
          <w:iCs/>
          <w:color w:val="0F4761" w:themeColor="accent1" w:themeShade="BF"/>
          <w:sz w:val="22"/>
          <w:szCs w:val="22"/>
        </w:rPr>
      </w:pPr>
      <w:r>
        <w:rPr>
          <w:rFonts w:ascii="Kohinoor Devanagari" w:hAnsi="Kohinoor Devanagari" w:cs="Kohinoor Devanagari"/>
          <w:b/>
          <w:bCs/>
          <w:sz w:val="22"/>
          <w:szCs w:val="22"/>
        </w:rPr>
        <w:br w:type="page"/>
      </w:r>
    </w:p>
    <w:p w14:paraId="69F90829" w14:textId="7668C056" w:rsidR="00450069" w:rsidRDefault="00450069" w:rsidP="00450069">
      <w:pPr>
        <w:pStyle w:val="Heading4"/>
        <w:spacing w:before="120" w:after="120"/>
        <w:rPr>
          <w:rFonts w:ascii="Kohinoor Devanagari" w:hAnsi="Kohinoor Devanagari" w:cs="Kohinoor Devanagari"/>
          <w:b/>
          <w:bCs/>
          <w:sz w:val="22"/>
          <w:szCs w:val="22"/>
        </w:rPr>
      </w:pPr>
      <w:r w:rsidRPr="00C52386">
        <w:rPr>
          <w:rFonts w:ascii="Kohinoor Devanagari" w:hAnsi="Kohinoor Devanagari" w:cs="Kohinoor Devanagari"/>
          <w:b/>
          <w:bCs/>
          <w:sz w:val="22"/>
          <w:szCs w:val="22"/>
        </w:rPr>
        <w:t>Module</w:t>
      </w:r>
      <w:r w:rsidR="002764C0">
        <w:rPr>
          <w:rFonts w:ascii="Kohinoor Devanagari" w:hAnsi="Kohinoor Devanagari" w:cs="Kohinoor Devanagari"/>
          <w:b/>
          <w:bCs/>
          <w:sz w:val="22"/>
          <w:szCs w:val="22"/>
        </w:rPr>
        <w:t xml:space="preserve"> 1</w:t>
      </w:r>
      <w:r w:rsidRPr="00C52386">
        <w:rPr>
          <w:rFonts w:ascii="Kohinoor Devanagari" w:hAnsi="Kohinoor Devanagari" w:cs="Kohinoor Devanagari"/>
          <w:b/>
          <w:bCs/>
          <w:sz w:val="22"/>
          <w:szCs w:val="22"/>
        </w:rPr>
        <w:t xml:space="preserve">: Overview of the extractive industries </w:t>
      </w:r>
    </w:p>
    <w:p w14:paraId="14BDB420" w14:textId="11D49DDE" w:rsidR="002764C0" w:rsidRPr="00723D7C" w:rsidRDefault="005F017B" w:rsidP="002764C0">
      <w:pPr>
        <w:pStyle w:val="Heading4"/>
        <w:spacing w:before="120" w:after="120"/>
        <w:rPr>
          <w:rFonts w:ascii="Kohinoor Devanagari" w:hAnsi="Kohinoor Devanagari" w:cs="Kohinoor Devanagari"/>
          <w:b/>
          <w:bCs/>
          <w:sz w:val="22"/>
          <w:szCs w:val="22"/>
        </w:rPr>
      </w:pPr>
      <w:r>
        <w:rPr>
          <w:rFonts w:ascii="Kohinoor Devanagari" w:hAnsi="Kohinoor Devanagari" w:cs="Kohinoor Devanagari"/>
          <w:b/>
          <w:bCs/>
          <w:sz w:val="22"/>
          <w:szCs w:val="22"/>
        </w:rPr>
        <w:t>1.1.</w:t>
      </w:r>
      <w:r w:rsidRPr="00723D7C">
        <w:rPr>
          <w:rFonts w:ascii="Kohinoor Devanagari" w:hAnsi="Kohinoor Devanagari" w:cs="Kohinoor Devanagari"/>
          <w:b/>
          <w:bCs/>
          <w:sz w:val="22"/>
          <w:szCs w:val="22"/>
        </w:rPr>
        <w:t xml:space="preserve"> Exploration</w:t>
      </w:r>
      <w:r w:rsidR="002764C0" w:rsidRPr="00723D7C">
        <w:rPr>
          <w:rFonts w:ascii="Kohinoor Devanagari" w:hAnsi="Kohinoor Devanagari" w:cs="Kohinoor Devanagari"/>
          <w:b/>
          <w:bCs/>
          <w:sz w:val="22"/>
          <w:szCs w:val="22"/>
        </w:rPr>
        <w:t xml:space="preserve"> Activities (Requirement 3.1 )</w:t>
      </w:r>
    </w:p>
    <w:p w14:paraId="4CB3E606" w14:textId="77777777" w:rsidR="002764C0" w:rsidRPr="00723D7C" w:rsidRDefault="002764C0" w:rsidP="002764C0">
      <w:pPr>
        <w:rPr>
          <w:rFonts w:ascii="Kohinoor Devanagari" w:eastAsia="Times New Roman" w:hAnsi="Kohinoor Devanagari" w:cs="Kohinoor Devanagari"/>
          <w:b/>
          <w:bCs/>
          <w:color w:val="0D0D0D"/>
          <w:kern w:val="0"/>
          <w:sz w:val="22"/>
          <w:szCs w:val="22"/>
          <w:lang w:eastAsia="fr-FR"/>
          <w14:ligatures w14:val="none"/>
        </w:rPr>
      </w:pPr>
      <w:r w:rsidRPr="00723D7C">
        <w:rPr>
          <w:rFonts w:ascii="Kohinoor Devanagari" w:eastAsia="Times New Roman" w:hAnsi="Kohinoor Devanagari" w:cs="Kohinoor Devanagari"/>
          <w:b/>
          <w:bCs/>
          <w:color w:val="0D0D0D"/>
          <w:kern w:val="0"/>
          <w:sz w:val="22"/>
          <w:szCs w:val="22"/>
          <w:lang w:eastAsia="fr-FR"/>
          <w14:ligatures w14:val="none"/>
        </w:rPr>
        <w:t>Objective</w:t>
      </w:r>
    </w:p>
    <w:p w14:paraId="2C8C4913" w14:textId="77777777" w:rsidR="002764C0" w:rsidRPr="00723D7C" w:rsidRDefault="002764C0" w:rsidP="002764C0">
      <w:p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723D7C">
        <w:rPr>
          <w:rFonts w:ascii="Kohinoor Devanagari" w:eastAsia="Times New Roman" w:hAnsi="Kohinoor Devanagari" w:cs="Kohinoor Devanagari"/>
          <w:color w:val="0D0D0D"/>
          <w:kern w:val="0"/>
          <w:sz w:val="22"/>
          <w:szCs w:val="22"/>
          <w:lang w:eastAsia="fr-FR"/>
          <w14:ligatures w14:val="none"/>
        </w:rPr>
        <w:t>This section ensures public access to an overview of Iraq’s extractive sector and its potential, enabling:</w:t>
      </w:r>
    </w:p>
    <w:p w14:paraId="1CDC3007" w14:textId="77777777" w:rsidR="002764C0" w:rsidRPr="00723D7C" w:rsidRDefault="002764C0" w:rsidP="002764C0">
      <w:pPr>
        <w:numPr>
          <w:ilvl w:val="0"/>
          <w:numId w:val="70"/>
        </w:num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723D7C">
        <w:rPr>
          <w:rFonts w:ascii="Kohinoor Devanagari" w:eastAsia="Times New Roman" w:hAnsi="Kohinoor Devanagari" w:cs="Kohinoor Devanagari"/>
          <w:color w:val="0D0D0D"/>
          <w:kern w:val="0"/>
          <w:sz w:val="22"/>
          <w:szCs w:val="22"/>
          <w:lang w:eastAsia="fr-FR"/>
          <w14:ligatures w14:val="none"/>
        </w:rPr>
        <w:t>Disclosure of recent, ongoing, and planned exploration activities by national oil companies (NOCs), state-owned enterprises (SOEs), and private extractive companies.</w:t>
      </w:r>
    </w:p>
    <w:p w14:paraId="462B3304" w14:textId="77777777" w:rsidR="002764C0" w:rsidRPr="00723D7C" w:rsidRDefault="002764C0" w:rsidP="002764C0">
      <w:pPr>
        <w:numPr>
          <w:ilvl w:val="0"/>
          <w:numId w:val="70"/>
        </w:num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723D7C">
        <w:rPr>
          <w:rFonts w:ascii="Kohinoor Devanagari" w:eastAsia="Times New Roman" w:hAnsi="Kohinoor Devanagari" w:cs="Kohinoor Devanagari"/>
          <w:color w:val="0D0D0D"/>
          <w:kern w:val="0"/>
          <w:sz w:val="22"/>
          <w:szCs w:val="22"/>
          <w:lang w:eastAsia="fr-FR"/>
          <w14:ligatures w14:val="none"/>
        </w:rPr>
        <w:t>Public tracking of investments and exploration progress in Iraq’s oil, gas, and mining sectors.</w:t>
      </w:r>
    </w:p>
    <w:p w14:paraId="0250FC52" w14:textId="77777777" w:rsidR="002764C0" w:rsidRPr="00723D7C" w:rsidRDefault="002764C0" w:rsidP="002764C0">
      <w:pPr>
        <w:numPr>
          <w:ilvl w:val="0"/>
          <w:numId w:val="70"/>
        </w:num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723D7C">
        <w:rPr>
          <w:rFonts w:ascii="Kohinoor Devanagari" w:eastAsia="Times New Roman" w:hAnsi="Kohinoor Devanagari" w:cs="Kohinoor Devanagari"/>
          <w:color w:val="0D0D0D"/>
          <w:kern w:val="0"/>
          <w:sz w:val="22"/>
          <w:szCs w:val="22"/>
          <w:lang w:eastAsia="fr-FR"/>
          <w14:ligatures w14:val="none"/>
        </w:rPr>
        <w:t>Transparency on geological studies, resource assessments, and government strategies for sector development.</w:t>
      </w:r>
    </w:p>
    <w:p w14:paraId="77EC7D6C" w14:textId="77777777" w:rsidR="002764C0" w:rsidRPr="009F50A1" w:rsidRDefault="002764C0" w:rsidP="002764C0">
      <w:pPr>
        <w:rPr>
          <w:rFonts w:ascii="Kohinoor Devanagari" w:eastAsia="Times New Roman" w:hAnsi="Kohinoor Devanagari" w:cs="Kohinoor Devanagari"/>
          <w:b/>
          <w:bCs/>
          <w:color w:val="0D0D0D"/>
          <w:kern w:val="0"/>
          <w:sz w:val="22"/>
          <w:szCs w:val="22"/>
          <w:lang w:eastAsia="fr-FR"/>
          <w14:ligatures w14:val="none"/>
        </w:rPr>
      </w:pPr>
      <w:r w:rsidRPr="009F50A1">
        <w:rPr>
          <w:rFonts w:ascii="Kohinoor Devanagari" w:eastAsia="Times New Roman" w:hAnsi="Kohinoor Devanagari" w:cs="Kohinoor Devanagari"/>
          <w:b/>
          <w:bCs/>
          <w:color w:val="0D0D0D"/>
          <w:kern w:val="0"/>
          <w:sz w:val="22"/>
          <w:szCs w:val="22"/>
          <w:lang w:eastAsia="fr-FR"/>
          <w14:ligatures w14:val="none"/>
        </w:rPr>
        <w:t>Data Disclosure Requirements</w:t>
      </w:r>
    </w:p>
    <w:tbl>
      <w:tblPr>
        <w:tblStyle w:val="TableGrid"/>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357"/>
        <w:gridCol w:w="1481"/>
        <w:gridCol w:w="1394"/>
        <w:gridCol w:w="1520"/>
        <w:gridCol w:w="1110"/>
        <w:gridCol w:w="1122"/>
        <w:gridCol w:w="1354"/>
      </w:tblGrid>
      <w:tr w:rsidR="00F47005" w:rsidRPr="00F47005" w14:paraId="6DE6B393" w14:textId="77777777" w:rsidTr="00F47005">
        <w:trPr>
          <w:tblHeader/>
        </w:trPr>
        <w:tc>
          <w:tcPr>
            <w:tcW w:w="0" w:type="auto"/>
            <w:shd w:val="clear" w:color="auto" w:fill="748A96"/>
            <w:hideMark/>
          </w:tcPr>
          <w:p w14:paraId="46949BD0" w14:textId="77777777" w:rsidR="002764C0" w:rsidRPr="00C52386" w:rsidRDefault="002764C0" w:rsidP="0092022E">
            <w:pPr>
              <w:spacing w:before="40"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Data Type</w:t>
            </w:r>
          </w:p>
        </w:tc>
        <w:tc>
          <w:tcPr>
            <w:tcW w:w="0" w:type="auto"/>
            <w:shd w:val="clear" w:color="auto" w:fill="748A96"/>
            <w:hideMark/>
          </w:tcPr>
          <w:p w14:paraId="4E2A439E" w14:textId="77777777" w:rsidR="002764C0" w:rsidRPr="00C52386" w:rsidRDefault="002764C0" w:rsidP="0092022E">
            <w:pPr>
              <w:spacing w:before="40"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Description</w:t>
            </w:r>
          </w:p>
        </w:tc>
        <w:tc>
          <w:tcPr>
            <w:tcW w:w="0" w:type="auto"/>
            <w:shd w:val="clear" w:color="auto" w:fill="748A96"/>
            <w:hideMark/>
          </w:tcPr>
          <w:p w14:paraId="4670E20F" w14:textId="77777777" w:rsidR="002764C0" w:rsidRPr="00C52386" w:rsidRDefault="002764C0" w:rsidP="0092022E">
            <w:pPr>
              <w:spacing w:before="40"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Responsible Entities</w:t>
            </w:r>
          </w:p>
        </w:tc>
        <w:tc>
          <w:tcPr>
            <w:tcW w:w="0" w:type="auto"/>
            <w:shd w:val="clear" w:color="auto" w:fill="748A96"/>
            <w:hideMark/>
          </w:tcPr>
          <w:p w14:paraId="739D353C" w14:textId="77777777" w:rsidR="002764C0" w:rsidRPr="00C52386" w:rsidRDefault="002764C0" w:rsidP="0092022E">
            <w:pPr>
              <w:spacing w:before="40"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Disaggregation</w:t>
            </w:r>
          </w:p>
        </w:tc>
        <w:tc>
          <w:tcPr>
            <w:tcW w:w="0" w:type="auto"/>
            <w:shd w:val="clear" w:color="auto" w:fill="748A96"/>
            <w:hideMark/>
          </w:tcPr>
          <w:p w14:paraId="71102C31" w14:textId="77777777" w:rsidR="002764C0" w:rsidRPr="00C52386" w:rsidRDefault="002764C0" w:rsidP="0092022E">
            <w:pPr>
              <w:spacing w:before="40"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Frequency</w:t>
            </w:r>
          </w:p>
        </w:tc>
        <w:tc>
          <w:tcPr>
            <w:tcW w:w="0" w:type="auto"/>
            <w:shd w:val="clear" w:color="auto" w:fill="748A96"/>
            <w:hideMark/>
          </w:tcPr>
          <w:p w14:paraId="147C3523" w14:textId="77777777" w:rsidR="002764C0" w:rsidRPr="00C52386" w:rsidRDefault="002764C0" w:rsidP="0092022E">
            <w:pPr>
              <w:spacing w:before="40"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Format</w:t>
            </w:r>
          </w:p>
        </w:tc>
        <w:tc>
          <w:tcPr>
            <w:tcW w:w="0" w:type="auto"/>
            <w:shd w:val="clear" w:color="auto" w:fill="748A96"/>
            <w:hideMark/>
          </w:tcPr>
          <w:p w14:paraId="7C0F3164" w14:textId="77777777" w:rsidR="002764C0" w:rsidRPr="00C52386" w:rsidRDefault="002764C0" w:rsidP="0092022E">
            <w:pPr>
              <w:spacing w:before="40"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Publication Channels</w:t>
            </w:r>
          </w:p>
        </w:tc>
      </w:tr>
      <w:tr w:rsidR="002764C0" w:rsidRPr="009F50A1" w14:paraId="64AA8B83" w14:textId="77777777" w:rsidTr="0092022E">
        <w:tc>
          <w:tcPr>
            <w:tcW w:w="0" w:type="auto"/>
            <w:hideMark/>
          </w:tcPr>
          <w:p w14:paraId="4683FE1F"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Overview of Extractive Industries</w:t>
            </w:r>
          </w:p>
        </w:tc>
        <w:tc>
          <w:tcPr>
            <w:tcW w:w="0" w:type="auto"/>
            <w:hideMark/>
          </w:tcPr>
          <w:p w14:paraId="50B8BE82"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Summary of Iraq’s oil, gas, and mining sectors, including key players, production levels, and market trends.</w:t>
            </w:r>
          </w:p>
        </w:tc>
        <w:tc>
          <w:tcPr>
            <w:tcW w:w="0" w:type="auto"/>
            <w:hideMark/>
          </w:tcPr>
          <w:p w14:paraId="5A71537F"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Ministry of Oil, Ministry of Industry and Minerals, SOEs</w:t>
            </w:r>
          </w:p>
        </w:tc>
        <w:tc>
          <w:tcPr>
            <w:tcW w:w="0" w:type="auto"/>
            <w:hideMark/>
          </w:tcPr>
          <w:p w14:paraId="489D19E9"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By sector, resource type</w:t>
            </w:r>
          </w:p>
        </w:tc>
        <w:tc>
          <w:tcPr>
            <w:tcW w:w="0" w:type="auto"/>
            <w:hideMark/>
          </w:tcPr>
          <w:p w14:paraId="4DF7D344"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Annually</w:t>
            </w:r>
          </w:p>
        </w:tc>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6"/>
            </w:tblGrid>
            <w:tr w:rsidR="002764C0" w:rsidRPr="002B0D67" w14:paraId="77AE864E" w14:textId="77777777" w:rsidTr="0092022E">
              <w:trPr>
                <w:tblCellSpacing w:w="15" w:type="dxa"/>
              </w:trPr>
              <w:tc>
                <w:tcPr>
                  <w:tcW w:w="0" w:type="auto"/>
                  <w:vAlign w:val="center"/>
                  <w:hideMark/>
                </w:tcPr>
                <w:p w14:paraId="3770A674" w14:textId="77777777" w:rsidR="002764C0" w:rsidRPr="002B0D67" w:rsidRDefault="002764C0" w:rsidP="0092022E">
                  <w:pPr>
                    <w:spacing w:before="40" w:after="40" w:line="240" w:lineRule="auto"/>
                    <w:rPr>
                      <w:rFonts w:ascii="Calibri" w:eastAsia="Times New Roman" w:hAnsi="Calibri" w:cs="Calibri"/>
                      <w:b/>
                      <w:bCs/>
                      <w:color w:val="0D0D0D"/>
                      <w:kern w:val="0"/>
                      <w:sz w:val="20"/>
                      <w:szCs w:val="20"/>
                      <w:lang w:val="fr-FR" w:eastAsia="fr-FR"/>
                      <w14:ligatures w14:val="none"/>
                    </w:rPr>
                  </w:pPr>
                  <w:r w:rsidRPr="002B0D67">
                    <w:rPr>
                      <w:rFonts w:ascii="Calibri" w:eastAsia="Times New Roman" w:hAnsi="Calibri" w:cs="Calibri"/>
                      <w:b/>
                      <w:bCs/>
                      <w:color w:val="0D0D0D"/>
                      <w:kern w:val="0"/>
                      <w:sz w:val="20"/>
                      <w:szCs w:val="20"/>
                      <w:lang w:val="fr-FR" w:eastAsia="fr-FR"/>
                      <w14:ligatures w14:val="none"/>
                    </w:rPr>
                    <w:t xml:space="preserve">HTML, CSV (PDF </w:t>
                  </w:r>
                  <w:proofErr w:type="spellStart"/>
                  <w:r w:rsidRPr="002B0D67">
                    <w:rPr>
                      <w:rFonts w:ascii="Calibri" w:eastAsia="Times New Roman" w:hAnsi="Calibri" w:cs="Calibri"/>
                      <w:b/>
                      <w:bCs/>
                      <w:color w:val="0D0D0D"/>
                      <w:kern w:val="0"/>
                      <w:sz w:val="20"/>
                      <w:szCs w:val="20"/>
                      <w:lang w:val="fr-FR" w:eastAsia="fr-FR"/>
                      <w14:ligatures w14:val="none"/>
                    </w:rPr>
                    <w:t>optional</w:t>
                  </w:r>
                  <w:proofErr w:type="spellEnd"/>
                  <w:r w:rsidRPr="002B0D67">
                    <w:rPr>
                      <w:rFonts w:ascii="Calibri" w:eastAsia="Times New Roman" w:hAnsi="Calibri" w:cs="Calibri"/>
                      <w:b/>
                      <w:bCs/>
                      <w:color w:val="0D0D0D"/>
                      <w:kern w:val="0"/>
                      <w:sz w:val="20"/>
                      <w:szCs w:val="20"/>
                      <w:lang w:val="fr-FR" w:eastAsia="fr-FR"/>
                      <w14:ligatures w14:val="none"/>
                    </w:rPr>
                    <w:t>)</w:t>
                  </w:r>
                </w:p>
              </w:tc>
            </w:tr>
          </w:tbl>
          <w:p w14:paraId="7D635A30" w14:textId="77777777" w:rsidR="002764C0" w:rsidRPr="0092022E" w:rsidRDefault="002764C0" w:rsidP="0092022E">
            <w:pPr>
              <w:spacing w:before="40" w:after="40"/>
              <w:rPr>
                <w:rFonts w:ascii="Calibri" w:eastAsia="Times New Roman" w:hAnsi="Calibri" w:cs="Calibri"/>
                <w:b/>
                <w:bCs/>
                <w:color w:val="0D0D0D"/>
                <w:kern w:val="0"/>
                <w:sz w:val="20"/>
                <w:szCs w:val="20"/>
                <w:lang w:eastAsia="fr-FR"/>
                <w14:ligatures w14:val="none"/>
              </w:rPr>
            </w:pPr>
          </w:p>
        </w:tc>
        <w:tc>
          <w:tcPr>
            <w:tcW w:w="0" w:type="auto"/>
            <w:hideMark/>
          </w:tcPr>
          <w:p w14:paraId="6787ED61" w14:textId="5588EE52" w:rsidR="002764C0" w:rsidRPr="009F50A1" w:rsidRDefault="0055261B" w:rsidP="0092022E">
            <w:pPr>
              <w:spacing w:before="40"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2764C0" w:rsidRPr="009F50A1">
              <w:rPr>
                <w:rFonts w:ascii="Calibri" w:eastAsia="Times New Roman" w:hAnsi="Calibri" w:cs="Calibri"/>
                <w:color w:val="0D0D0D"/>
                <w:kern w:val="0"/>
                <w:sz w:val="20"/>
                <w:szCs w:val="20"/>
                <w:lang w:eastAsia="fr-FR"/>
                <w14:ligatures w14:val="none"/>
              </w:rPr>
              <w:t xml:space="preserve"> Iraq portal, Ministry of Oil / Ministry of Industry and Minerals websites</w:t>
            </w:r>
          </w:p>
        </w:tc>
      </w:tr>
      <w:tr w:rsidR="002764C0" w:rsidRPr="009F50A1" w14:paraId="0EAFB1A2" w14:textId="77777777" w:rsidTr="0092022E">
        <w:tc>
          <w:tcPr>
            <w:tcW w:w="0" w:type="auto"/>
            <w:hideMark/>
          </w:tcPr>
          <w:p w14:paraId="7DB7024B"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Significant Exploration Activities</w:t>
            </w:r>
          </w:p>
        </w:tc>
        <w:tc>
          <w:tcPr>
            <w:tcW w:w="0" w:type="auto"/>
            <w:hideMark/>
          </w:tcPr>
          <w:p w14:paraId="70DFF20D"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List of ongoing and planned oil, gas, and mining exploration projects, including details on investors and locations.</w:t>
            </w:r>
          </w:p>
        </w:tc>
        <w:tc>
          <w:tcPr>
            <w:tcW w:w="0" w:type="auto"/>
            <w:hideMark/>
          </w:tcPr>
          <w:p w14:paraId="5A55D1D6"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Ministry of Oil, Ministry of Industry and Minerals, SOEs</w:t>
            </w:r>
          </w:p>
        </w:tc>
        <w:tc>
          <w:tcPr>
            <w:tcW w:w="0" w:type="auto"/>
            <w:hideMark/>
          </w:tcPr>
          <w:p w14:paraId="295FD4FD"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By project, company, resource type</w:t>
            </w:r>
          </w:p>
        </w:tc>
        <w:tc>
          <w:tcPr>
            <w:tcW w:w="0" w:type="auto"/>
            <w:hideMark/>
          </w:tcPr>
          <w:p w14:paraId="5C7AA402"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Annually &amp; Updates</w:t>
            </w:r>
          </w:p>
        </w:tc>
        <w:tc>
          <w:tcPr>
            <w:tcW w:w="0" w:type="auto"/>
            <w:hideMark/>
          </w:tcPr>
          <w:p w14:paraId="67F2C01C"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050996">
              <w:rPr>
                <w:rFonts w:ascii="Calibri" w:eastAsia="Times New Roman" w:hAnsi="Calibri" w:cs="Calibri"/>
                <w:b/>
                <w:bCs/>
                <w:color w:val="0D0D0D"/>
                <w:kern w:val="0"/>
                <w:sz w:val="20"/>
                <w:szCs w:val="20"/>
                <w:lang w:eastAsia="fr-FR"/>
                <w14:ligatures w14:val="none"/>
              </w:rPr>
              <w:t>CSV, HTML</w:t>
            </w:r>
            <w:r w:rsidRPr="00050996">
              <w:rPr>
                <w:rFonts w:ascii="Calibri" w:eastAsia="Times New Roman" w:hAnsi="Calibri" w:cs="Calibri"/>
                <w:color w:val="0D0D0D"/>
                <w:kern w:val="0"/>
                <w:sz w:val="20"/>
                <w:szCs w:val="20"/>
                <w:lang w:eastAsia="fr-FR"/>
                <w14:ligatures w14:val="none"/>
              </w:rPr>
              <w:t xml:space="preserve"> (PDF optional)</w:t>
            </w:r>
          </w:p>
        </w:tc>
        <w:tc>
          <w:tcPr>
            <w:tcW w:w="0" w:type="auto"/>
            <w:hideMark/>
          </w:tcPr>
          <w:p w14:paraId="66C0D4C7" w14:textId="028BD1D3" w:rsidR="002764C0" w:rsidRPr="009F50A1" w:rsidRDefault="0055261B" w:rsidP="0092022E">
            <w:pPr>
              <w:spacing w:before="40"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2764C0" w:rsidRPr="009F50A1">
              <w:rPr>
                <w:rFonts w:ascii="Calibri" w:eastAsia="Times New Roman" w:hAnsi="Calibri" w:cs="Calibri"/>
                <w:color w:val="0D0D0D"/>
                <w:kern w:val="0"/>
                <w:sz w:val="20"/>
                <w:szCs w:val="20"/>
                <w:lang w:eastAsia="fr-FR"/>
                <w14:ligatures w14:val="none"/>
              </w:rPr>
              <w:t xml:space="preserve"> Iraq portal</w:t>
            </w:r>
          </w:p>
        </w:tc>
      </w:tr>
      <w:tr w:rsidR="002764C0" w:rsidRPr="009F50A1" w14:paraId="283C0DA3" w14:textId="77777777" w:rsidTr="0092022E">
        <w:tc>
          <w:tcPr>
            <w:tcW w:w="0" w:type="auto"/>
            <w:hideMark/>
          </w:tcPr>
          <w:p w14:paraId="053E5771"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Geological Studies and Resource Assessments</w:t>
            </w:r>
          </w:p>
        </w:tc>
        <w:tc>
          <w:tcPr>
            <w:tcW w:w="0" w:type="auto"/>
            <w:hideMark/>
          </w:tcPr>
          <w:p w14:paraId="43AD3762"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Reports on geological surveys, seismic studies, and resource estimates.</w:t>
            </w:r>
          </w:p>
        </w:tc>
        <w:tc>
          <w:tcPr>
            <w:tcW w:w="0" w:type="auto"/>
            <w:hideMark/>
          </w:tcPr>
          <w:p w14:paraId="67328051"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Oil Exploration Company, Ministry of Oil, Geological Survey Authority</w:t>
            </w:r>
          </w:p>
        </w:tc>
        <w:tc>
          <w:tcPr>
            <w:tcW w:w="0" w:type="auto"/>
            <w:hideMark/>
          </w:tcPr>
          <w:p w14:paraId="17719BD7"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By project, resource type</w:t>
            </w:r>
          </w:p>
        </w:tc>
        <w:tc>
          <w:tcPr>
            <w:tcW w:w="0" w:type="auto"/>
            <w:hideMark/>
          </w:tcPr>
          <w:p w14:paraId="7C74369B"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Annually &amp; Updates</w:t>
            </w:r>
          </w:p>
        </w:tc>
        <w:tc>
          <w:tcPr>
            <w:tcW w:w="0" w:type="auto"/>
            <w:hideMark/>
          </w:tcPr>
          <w:p w14:paraId="115FDEA8"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050996">
              <w:rPr>
                <w:b/>
                <w:bCs/>
              </w:rPr>
              <w:t xml:space="preserve"> </w:t>
            </w:r>
            <w:r w:rsidRPr="00050996">
              <w:rPr>
                <w:rFonts w:ascii="Calibri" w:eastAsia="Times New Roman" w:hAnsi="Calibri" w:cs="Calibri"/>
                <w:b/>
                <w:bCs/>
                <w:color w:val="0D0D0D"/>
                <w:kern w:val="0"/>
                <w:sz w:val="20"/>
                <w:szCs w:val="20"/>
                <w:lang w:eastAsia="fr-FR"/>
                <w14:ligatures w14:val="none"/>
              </w:rPr>
              <w:t>CSV, HTML</w:t>
            </w:r>
            <w:r w:rsidRPr="00050996">
              <w:rPr>
                <w:rFonts w:ascii="Calibri" w:eastAsia="Times New Roman" w:hAnsi="Calibri" w:cs="Calibri"/>
                <w:color w:val="0D0D0D"/>
                <w:kern w:val="0"/>
                <w:sz w:val="20"/>
                <w:szCs w:val="20"/>
                <w:lang w:eastAsia="fr-FR"/>
                <w14:ligatures w14:val="none"/>
              </w:rPr>
              <w:t xml:space="preserve"> (PDF for reports)</w:t>
            </w:r>
          </w:p>
        </w:tc>
        <w:tc>
          <w:tcPr>
            <w:tcW w:w="0" w:type="auto"/>
            <w:hideMark/>
          </w:tcPr>
          <w:p w14:paraId="25EDA0BC" w14:textId="37EFC0B3" w:rsidR="002764C0" w:rsidRPr="009F50A1" w:rsidRDefault="0055261B" w:rsidP="0092022E">
            <w:pPr>
              <w:spacing w:before="40"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2764C0" w:rsidRPr="009F50A1">
              <w:rPr>
                <w:rFonts w:ascii="Calibri" w:eastAsia="Times New Roman" w:hAnsi="Calibri" w:cs="Calibri"/>
                <w:color w:val="0D0D0D"/>
                <w:kern w:val="0"/>
                <w:sz w:val="20"/>
                <w:szCs w:val="20"/>
                <w:lang w:eastAsia="fr-FR"/>
                <w14:ligatures w14:val="none"/>
              </w:rPr>
              <w:t xml:space="preserve"> Iraq portal, Ministry of Oil website</w:t>
            </w:r>
          </w:p>
        </w:tc>
      </w:tr>
      <w:tr w:rsidR="002764C0" w:rsidRPr="009F50A1" w14:paraId="5C8DC09F" w14:textId="77777777" w:rsidTr="0092022E">
        <w:tc>
          <w:tcPr>
            <w:tcW w:w="0" w:type="auto"/>
            <w:hideMark/>
          </w:tcPr>
          <w:p w14:paraId="22E3E8AE"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Proven and Probable Reserves Data</w:t>
            </w:r>
          </w:p>
        </w:tc>
        <w:tc>
          <w:tcPr>
            <w:tcW w:w="0" w:type="auto"/>
            <w:hideMark/>
          </w:tcPr>
          <w:p w14:paraId="1C62131C"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Disclosure of official estimates of Iraq’s oil, gas, and mineral reserves.</w:t>
            </w:r>
          </w:p>
        </w:tc>
        <w:tc>
          <w:tcPr>
            <w:tcW w:w="0" w:type="auto"/>
            <w:hideMark/>
          </w:tcPr>
          <w:p w14:paraId="7983DFFA"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Ministry of Oil, Ministry of Industry and Minerals</w:t>
            </w:r>
          </w:p>
        </w:tc>
        <w:tc>
          <w:tcPr>
            <w:tcW w:w="0" w:type="auto"/>
            <w:hideMark/>
          </w:tcPr>
          <w:p w14:paraId="53346C9C"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By commodity, project, region</w:t>
            </w:r>
          </w:p>
        </w:tc>
        <w:tc>
          <w:tcPr>
            <w:tcW w:w="0" w:type="auto"/>
            <w:hideMark/>
          </w:tcPr>
          <w:p w14:paraId="1D378101"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Annually</w:t>
            </w:r>
          </w:p>
        </w:tc>
        <w:tc>
          <w:tcPr>
            <w:tcW w:w="0" w:type="auto"/>
            <w:hideMark/>
          </w:tcPr>
          <w:p w14:paraId="755CBF27"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050996">
              <w:rPr>
                <w:rFonts w:ascii="Calibri" w:eastAsia="Times New Roman" w:hAnsi="Calibri" w:cs="Calibri"/>
                <w:b/>
                <w:bCs/>
                <w:color w:val="0D0D0D"/>
                <w:kern w:val="0"/>
                <w:sz w:val="20"/>
                <w:szCs w:val="20"/>
                <w:lang w:eastAsia="fr-FR"/>
                <w14:ligatures w14:val="none"/>
              </w:rPr>
              <w:t>CSV, HTML</w:t>
            </w:r>
            <w:r w:rsidRPr="00050996">
              <w:rPr>
                <w:rFonts w:ascii="Calibri" w:eastAsia="Times New Roman" w:hAnsi="Calibri" w:cs="Calibri"/>
                <w:color w:val="0D0D0D"/>
                <w:kern w:val="0"/>
                <w:sz w:val="20"/>
                <w:szCs w:val="20"/>
                <w:lang w:eastAsia="fr-FR"/>
                <w14:ligatures w14:val="none"/>
              </w:rPr>
              <w:t xml:space="preserve"> (PDF optional)</w:t>
            </w:r>
          </w:p>
        </w:tc>
        <w:tc>
          <w:tcPr>
            <w:tcW w:w="0" w:type="auto"/>
            <w:hideMark/>
          </w:tcPr>
          <w:p w14:paraId="021E396D" w14:textId="09AA007A" w:rsidR="002764C0" w:rsidRPr="009F50A1" w:rsidRDefault="0055261B" w:rsidP="0092022E">
            <w:pPr>
              <w:spacing w:before="40"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2764C0" w:rsidRPr="009F50A1">
              <w:rPr>
                <w:rFonts w:ascii="Calibri" w:eastAsia="Times New Roman" w:hAnsi="Calibri" w:cs="Calibri"/>
                <w:color w:val="0D0D0D"/>
                <w:kern w:val="0"/>
                <w:sz w:val="20"/>
                <w:szCs w:val="20"/>
                <w:lang w:eastAsia="fr-FR"/>
                <w14:ligatures w14:val="none"/>
              </w:rPr>
              <w:t xml:space="preserve"> Iraq portal, Ministry of Oil / Ministry of Industry and Minerals websites</w:t>
            </w:r>
          </w:p>
        </w:tc>
      </w:tr>
      <w:tr w:rsidR="002764C0" w:rsidRPr="009F50A1" w14:paraId="0BA9F629" w14:textId="77777777" w:rsidTr="0092022E">
        <w:tc>
          <w:tcPr>
            <w:tcW w:w="0" w:type="auto"/>
            <w:hideMark/>
          </w:tcPr>
          <w:p w14:paraId="45236C2E"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Exploration Licenses and Bidding Rounds</w:t>
            </w:r>
          </w:p>
        </w:tc>
        <w:tc>
          <w:tcPr>
            <w:tcW w:w="0" w:type="auto"/>
            <w:hideMark/>
          </w:tcPr>
          <w:p w14:paraId="7AF9F813"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Details on recent and upcoming licensing rounds, including awarded contracts and terms.</w:t>
            </w:r>
          </w:p>
        </w:tc>
        <w:tc>
          <w:tcPr>
            <w:tcW w:w="0" w:type="auto"/>
            <w:hideMark/>
          </w:tcPr>
          <w:p w14:paraId="62AEE929"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Ministry of Oil, Licensing Directorate,</w:t>
            </w:r>
          </w:p>
          <w:p w14:paraId="6B33B843"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Ministry of Industry and Minerals</w:t>
            </w:r>
          </w:p>
        </w:tc>
        <w:tc>
          <w:tcPr>
            <w:tcW w:w="0" w:type="auto"/>
            <w:hideMark/>
          </w:tcPr>
          <w:p w14:paraId="3A30D189"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By license, project, company</w:t>
            </w:r>
          </w:p>
        </w:tc>
        <w:tc>
          <w:tcPr>
            <w:tcW w:w="0" w:type="auto"/>
            <w:hideMark/>
          </w:tcPr>
          <w:p w14:paraId="7DE33D85"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Annually &amp; Updates</w:t>
            </w:r>
          </w:p>
        </w:tc>
        <w:tc>
          <w:tcPr>
            <w:tcW w:w="0" w:type="auto"/>
            <w:hideMark/>
          </w:tcPr>
          <w:p w14:paraId="11BC25D5" w14:textId="77777777" w:rsidR="002764C0" w:rsidRPr="009F50A1" w:rsidRDefault="002764C0" w:rsidP="0092022E">
            <w:pPr>
              <w:spacing w:before="40" w:after="40"/>
              <w:rPr>
                <w:rFonts w:ascii="Calibri" w:eastAsia="Times New Roman" w:hAnsi="Calibri" w:cs="Calibri"/>
                <w:color w:val="0D0D0D"/>
                <w:kern w:val="0"/>
                <w:sz w:val="20"/>
                <w:szCs w:val="20"/>
                <w:lang w:eastAsia="fr-FR"/>
                <w14:ligatures w14:val="none"/>
              </w:rPr>
            </w:pPr>
            <w:r w:rsidRPr="00050996">
              <w:rPr>
                <w:rFonts w:ascii="Calibri" w:eastAsia="Times New Roman" w:hAnsi="Calibri" w:cs="Calibri"/>
                <w:b/>
                <w:bCs/>
                <w:color w:val="0D0D0D"/>
                <w:kern w:val="0"/>
                <w:sz w:val="20"/>
                <w:szCs w:val="20"/>
                <w:lang w:eastAsia="fr-FR"/>
                <w14:ligatures w14:val="none"/>
              </w:rPr>
              <w:t>CSV, HTML</w:t>
            </w:r>
            <w:r w:rsidRPr="00050996">
              <w:rPr>
                <w:rFonts w:ascii="Calibri" w:eastAsia="Times New Roman" w:hAnsi="Calibri" w:cs="Calibri"/>
                <w:color w:val="0D0D0D"/>
                <w:kern w:val="0"/>
                <w:sz w:val="20"/>
                <w:szCs w:val="20"/>
                <w:lang w:eastAsia="fr-FR"/>
                <w14:ligatures w14:val="none"/>
              </w:rPr>
              <w:t xml:space="preserve"> (PDF optional)</w:t>
            </w:r>
          </w:p>
        </w:tc>
        <w:tc>
          <w:tcPr>
            <w:tcW w:w="0" w:type="auto"/>
            <w:hideMark/>
          </w:tcPr>
          <w:p w14:paraId="7A04226F" w14:textId="281A07EB" w:rsidR="002764C0" w:rsidRPr="009F50A1" w:rsidRDefault="0055261B" w:rsidP="0092022E">
            <w:pPr>
              <w:spacing w:before="40"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2764C0" w:rsidRPr="009F50A1">
              <w:rPr>
                <w:rFonts w:ascii="Calibri" w:eastAsia="Times New Roman" w:hAnsi="Calibri" w:cs="Calibri"/>
                <w:color w:val="0D0D0D"/>
                <w:kern w:val="0"/>
                <w:sz w:val="20"/>
                <w:szCs w:val="20"/>
                <w:lang w:eastAsia="fr-FR"/>
                <w14:ligatures w14:val="none"/>
              </w:rPr>
              <w:t xml:space="preserve"> Iraq portal, Ministry of Oil website</w:t>
            </w:r>
          </w:p>
        </w:tc>
      </w:tr>
    </w:tbl>
    <w:p w14:paraId="4A316692" w14:textId="63318050" w:rsidR="007D17E1" w:rsidRPr="00AE5A68" w:rsidRDefault="005F017B" w:rsidP="007D17E1">
      <w:pPr>
        <w:pStyle w:val="Heading4"/>
        <w:spacing w:before="120" w:after="120"/>
        <w:rPr>
          <w:rFonts w:ascii="Kohinoor Devanagari" w:hAnsi="Kohinoor Devanagari" w:cs="Kohinoor Devanagari"/>
          <w:b/>
          <w:bCs/>
          <w:sz w:val="22"/>
          <w:szCs w:val="22"/>
        </w:rPr>
      </w:pPr>
      <w:r>
        <w:rPr>
          <w:rFonts w:ascii="Kohinoor Devanagari" w:hAnsi="Kohinoor Devanagari" w:cs="Kohinoor Devanagari"/>
          <w:b/>
          <w:bCs/>
          <w:sz w:val="22"/>
          <w:szCs w:val="22"/>
        </w:rPr>
        <w:t>1.2.</w:t>
      </w:r>
      <w:r w:rsidRPr="00AE5A68">
        <w:rPr>
          <w:rFonts w:ascii="Kohinoor Devanagari" w:hAnsi="Kohinoor Devanagari" w:cs="Kohinoor Devanagari"/>
          <w:b/>
          <w:bCs/>
          <w:sz w:val="22"/>
          <w:szCs w:val="22"/>
        </w:rPr>
        <w:t xml:space="preserve"> Contribution</w:t>
      </w:r>
      <w:r w:rsidR="007D17E1" w:rsidRPr="00AE5A68">
        <w:rPr>
          <w:rFonts w:ascii="Kohinoor Devanagari" w:hAnsi="Kohinoor Devanagari" w:cs="Kohinoor Devanagari"/>
          <w:b/>
          <w:bCs/>
          <w:sz w:val="22"/>
          <w:szCs w:val="22"/>
        </w:rPr>
        <w:t xml:space="preserve"> of the Extractive Sector to the Economy (Requirement 6.3 )</w:t>
      </w:r>
    </w:p>
    <w:p w14:paraId="6438CAD3" w14:textId="77777777" w:rsidR="007D17E1" w:rsidRPr="00AE5A68" w:rsidRDefault="007D17E1" w:rsidP="007D17E1">
      <w:pPr>
        <w:spacing w:before="120" w:after="120" w:line="240" w:lineRule="auto"/>
        <w:rPr>
          <w:rFonts w:ascii="Kohinoor Devanagari" w:hAnsi="Kohinoor Devanagari" w:cs="Kohinoor Devanagari"/>
          <w:b/>
          <w:bCs/>
          <w:sz w:val="22"/>
          <w:szCs w:val="22"/>
          <w:lang w:eastAsia="fr-FR"/>
        </w:rPr>
      </w:pPr>
      <w:r w:rsidRPr="00AE5A68">
        <w:rPr>
          <w:rFonts w:ascii="Kohinoor Devanagari" w:hAnsi="Kohinoor Devanagari" w:cs="Kohinoor Devanagari"/>
          <w:b/>
          <w:bCs/>
          <w:sz w:val="22"/>
          <w:szCs w:val="22"/>
          <w:lang w:eastAsia="fr-FR"/>
        </w:rPr>
        <w:t>Objective</w:t>
      </w:r>
    </w:p>
    <w:p w14:paraId="71C9EE0C" w14:textId="77777777" w:rsidR="007D17E1" w:rsidRPr="00AE5A68" w:rsidRDefault="007D17E1" w:rsidP="007D17E1">
      <w:pPr>
        <w:spacing w:before="120" w:after="120" w:line="240" w:lineRule="auto"/>
        <w:rPr>
          <w:rFonts w:ascii="Kohinoor Devanagari" w:hAnsi="Kohinoor Devanagari" w:cs="Kohinoor Devanagari"/>
          <w:sz w:val="22"/>
          <w:szCs w:val="22"/>
          <w:lang w:eastAsia="fr-FR"/>
        </w:rPr>
      </w:pPr>
      <w:r w:rsidRPr="00AE5A68">
        <w:rPr>
          <w:rFonts w:ascii="Kohinoor Devanagari" w:hAnsi="Kohinoor Devanagari" w:cs="Kohinoor Devanagari"/>
          <w:sz w:val="22"/>
          <w:szCs w:val="22"/>
          <w:lang w:eastAsia="fr-FR"/>
        </w:rPr>
        <w:t>This section ensures public understanding of the extractive industries’ contribution to Iraq’s national economy, enabling:</w:t>
      </w:r>
    </w:p>
    <w:p w14:paraId="6ABE23B0" w14:textId="77777777" w:rsidR="007D17E1" w:rsidRPr="00AE5A68" w:rsidRDefault="007D17E1" w:rsidP="007D17E1">
      <w:pPr>
        <w:numPr>
          <w:ilvl w:val="0"/>
          <w:numId w:val="71"/>
        </w:numPr>
        <w:spacing w:before="120" w:after="120" w:line="240" w:lineRule="auto"/>
        <w:rPr>
          <w:rFonts w:ascii="Kohinoor Devanagari" w:hAnsi="Kohinoor Devanagari" w:cs="Kohinoor Devanagari"/>
          <w:sz w:val="22"/>
          <w:szCs w:val="22"/>
          <w:lang w:eastAsia="fr-FR"/>
        </w:rPr>
      </w:pPr>
      <w:r w:rsidRPr="00AE5A68">
        <w:rPr>
          <w:rFonts w:ascii="Kohinoor Devanagari" w:hAnsi="Kohinoor Devanagari" w:cs="Kohinoor Devanagari"/>
          <w:sz w:val="22"/>
          <w:szCs w:val="22"/>
          <w:lang w:eastAsia="fr-FR"/>
        </w:rPr>
        <w:t>Disclosure of extractive sector contributions to GDP, government revenues, exports, and employment.</w:t>
      </w:r>
    </w:p>
    <w:p w14:paraId="1B6C1558" w14:textId="77777777" w:rsidR="007D17E1" w:rsidRPr="00AE5A68" w:rsidRDefault="007D17E1" w:rsidP="007D17E1">
      <w:pPr>
        <w:numPr>
          <w:ilvl w:val="0"/>
          <w:numId w:val="71"/>
        </w:numPr>
        <w:spacing w:before="120" w:after="120" w:line="240" w:lineRule="auto"/>
        <w:rPr>
          <w:rFonts w:ascii="Kohinoor Devanagari" w:hAnsi="Kohinoor Devanagari" w:cs="Kohinoor Devanagari"/>
          <w:sz w:val="22"/>
          <w:szCs w:val="22"/>
          <w:lang w:eastAsia="fr-FR"/>
        </w:rPr>
      </w:pPr>
      <w:r w:rsidRPr="00AE5A68">
        <w:rPr>
          <w:rFonts w:ascii="Kohinoor Devanagari" w:hAnsi="Kohinoor Devanagari" w:cs="Kohinoor Devanagari"/>
          <w:sz w:val="22"/>
          <w:szCs w:val="22"/>
          <w:lang w:eastAsia="fr-FR"/>
        </w:rPr>
        <w:t>Assessment of the level of natural resource dependency in Iraq’s economy.</w:t>
      </w:r>
    </w:p>
    <w:p w14:paraId="1C7B94DB" w14:textId="77777777" w:rsidR="007D17E1" w:rsidRPr="00AE5A68" w:rsidRDefault="007D17E1" w:rsidP="007D17E1">
      <w:pPr>
        <w:numPr>
          <w:ilvl w:val="0"/>
          <w:numId w:val="71"/>
        </w:numPr>
        <w:spacing w:before="120" w:after="120" w:line="240" w:lineRule="auto"/>
        <w:rPr>
          <w:rFonts w:ascii="Kohinoor Devanagari" w:hAnsi="Kohinoor Devanagari" w:cs="Kohinoor Devanagari"/>
          <w:sz w:val="22"/>
          <w:szCs w:val="22"/>
          <w:lang w:eastAsia="fr-FR"/>
        </w:rPr>
      </w:pPr>
      <w:r w:rsidRPr="00AE5A68">
        <w:rPr>
          <w:rFonts w:ascii="Kohinoor Devanagari" w:hAnsi="Kohinoor Devanagari" w:cs="Kohinoor Devanagari"/>
          <w:sz w:val="22"/>
          <w:szCs w:val="22"/>
          <w:lang w:eastAsia="fr-FR"/>
        </w:rPr>
        <w:t>Transparency on employment trends, including gender and occupational breakdowns.</w:t>
      </w:r>
    </w:p>
    <w:p w14:paraId="4C0A5EC3" w14:textId="77777777" w:rsidR="007D17E1" w:rsidRPr="00AE5A68" w:rsidRDefault="007D17E1" w:rsidP="007D17E1">
      <w:pPr>
        <w:numPr>
          <w:ilvl w:val="0"/>
          <w:numId w:val="71"/>
        </w:numPr>
        <w:spacing w:before="120" w:after="120" w:line="240" w:lineRule="auto"/>
        <w:rPr>
          <w:rFonts w:ascii="Kohinoor Devanagari" w:hAnsi="Kohinoor Devanagari" w:cs="Kohinoor Devanagari"/>
          <w:sz w:val="22"/>
          <w:szCs w:val="22"/>
          <w:lang w:eastAsia="fr-FR"/>
        </w:rPr>
      </w:pPr>
      <w:r w:rsidRPr="00AE5A68">
        <w:rPr>
          <w:rFonts w:ascii="Kohinoor Devanagari" w:hAnsi="Kohinoor Devanagari" w:cs="Kohinoor Devanagari"/>
          <w:sz w:val="22"/>
          <w:szCs w:val="22"/>
          <w:lang w:eastAsia="fr-FR"/>
        </w:rPr>
        <w:t>Public insight into informal extractive activities, such as oil smuggling and artisanal mining.</w:t>
      </w:r>
    </w:p>
    <w:p w14:paraId="44E24A70" w14:textId="77777777" w:rsidR="007D17E1" w:rsidRPr="009348C9" w:rsidRDefault="007D17E1" w:rsidP="007D17E1">
      <w:pPr>
        <w:spacing w:before="120" w:after="120" w:line="240" w:lineRule="auto"/>
        <w:rPr>
          <w:rFonts w:ascii="Kohinoor Devanagari" w:hAnsi="Kohinoor Devanagari" w:cs="Kohinoor Devanagari"/>
          <w:b/>
          <w:bCs/>
          <w:sz w:val="22"/>
          <w:szCs w:val="22"/>
          <w:lang w:eastAsia="fr-FR"/>
        </w:rPr>
      </w:pPr>
      <w:r w:rsidRPr="009348C9">
        <w:rPr>
          <w:rFonts w:ascii="Kohinoor Devanagari" w:hAnsi="Kohinoor Devanagari" w:cs="Kohinoor Devanagari"/>
          <w:b/>
          <w:bCs/>
          <w:sz w:val="22"/>
          <w:szCs w:val="22"/>
          <w:lang w:eastAsia="fr-FR"/>
        </w:rPr>
        <w:t>Data Disclosure Requirements</w:t>
      </w:r>
    </w:p>
    <w:tbl>
      <w:tblPr>
        <w:tblStyle w:val="TableGrid"/>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380"/>
        <w:gridCol w:w="1523"/>
        <w:gridCol w:w="1412"/>
        <w:gridCol w:w="1627"/>
        <w:gridCol w:w="1110"/>
        <w:gridCol w:w="1006"/>
        <w:gridCol w:w="1280"/>
      </w:tblGrid>
      <w:tr w:rsidR="00F47005" w:rsidRPr="00F47005" w14:paraId="74A7B7AE" w14:textId="77777777" w:rsidTr="00F47005">
        <w:trPr>
          <w:tblHeader/>
        </w:trPr>
        <w:tc>
          <w:tcPr>
            <w:tcW w:w="0" w:type="auto"/>
            <w:shd w:val="clear" w:color="auto" w:fill="748A96"/>
            <w:hideMark/>
          </w:tcPr>
          <w:p w14:paraId="384E7E3C" w14:textId="77777777" w:rsidR="007D17E1" w:rsidRPr="00C52386" w:rsidRDefault="007D17E1" w:rsidP="0092022E">
            <w:pPr>
              <w:spacing w:after="40"/>
              <w:rPr>
                <w:rFonts w:ascii="Calibri" w:hAnsi="Calibri" w:cs="Calibri"/>
                <w:b/>
                <w:bCs/>
                <w:color w:val="FFFFFF" w:themeColor="background1"/>
                <w:sz w:val="20"/>
                <w:szCs w:val="20"/>
                <w:lang w:eastAsia="fr-FR"/>
              </w:rPr>
            </w:pPr>
            <w:r w:rsidRPr="00C52386">
              <w:rPr>
                <w:rFonts w:ascii="Calibri" w:hAnsi="Calibri" w:cs="Calibri"/>
                <w:b/>
                <w:bCs/>
                <w:color w:val="FFFFFF" w:themeColor="background1"/>
                <w:sz w:val="20"/>
                <w:szCs w:val="20"/>
                <w:lang w:eastAsia="fr-FR"/>
              </w:rPr>
              <w:t>Data Type</w:t>
            </w:r>
          </w:p>
        </w:tc>
        <w:tc>
          <w:tcPr>
            <w:tcW w:w="0" w:type="auto"/>
            <w:shd w:val="clear" w:color="auto" w:fill="748A96"/>
            <w:hideMark/>
          </w:tcPr>
          <w:p w14:paraId="364D8B94" w14:textId="77777777" w:rsidR="007D17E1" w:rsidRPr="00C52386" w:rsidRDefault="007D17E1" w:rsidP="0092022E">
            <w:pPr>
              <w:spacing w:after="40"/>
              <w:rPr>
                <w:rFonts w:ascii="Calibri" w:hAnsi="Calibri" w:cs="Calibri"/>
                <w:b/>
                <w:bCs/>
                <w:color w:val="FFFFFF" w:themeColor="background1"/>
                <w:sz w:val="20"/>
                <w:szCs w:val="20"/>
                <w:lang w:eastAsia="fr-FR"/>
              </w:rPr>
            </w:pPr>
            <w:r w:rsidRPr="00C52386">
              <w:rPr>
                <w:rFonts w:ascii="Calibri" w:hAnsi="Calibri" w:cs="Calibri"/>
                <w:b/>
                <w:bCs/>
                <w:color w:val="FFFFFF" w:themeColor="background1"/>
                <w:sz w:val="20"/>
                <w:szCs w:val="20"/>
                <w:lang w:eastAsia="fr-FR"/>
              </w:rPr>
              <w:t>Description</w:t>
            </w:r>
          </w:p>
        </w:tc>
        <w:tc>
          <w:tcPr>
            <w:tcW w:w="0" w:type="auto"/>
            <w:shd w:val="clear" w:color="auto" w:fill="748A96"/>
            <w:hideMark/>
          </w:tcPr>
          <w:p w14:paraId="57F0870E" w14:textId="77777777" w:rsidR="007D17E1" w:rsidRPr="00C52386" w:rsidRDefault="007D17E1" w:rsidP="0092022E">
            <w:pPr>
              <w:spacing w:after="40"/>
              <w:rPr>
                <w:rFonts w:ascii="Calibri" w:hAnsi="Calibri" w:cs="Calibri"/>
                <w:b/>
                <w:bCs/>
                <w:color w:val="FFFFFF" w:themeColor="background1"/>
                <w:sz w:val="20"/>
                <w:szCs w:val="20"/>
                <w:lang w:eastAsia="fr-FR"/>
              </w:rPr>
            </w:pPr>
            <w:r w:rsidRPr="00C52386">
              <w:rPr>
                <w:rFonts w:ascii="Calibri" w:hAnsi="Calibri" w:cs="Calibri"/>
                <w:b/>
                <w:bCs/>
                <w:color w:val="FFFFFF" w:themeColor="background1"/>
                <w:sz w:val="20"/>
                <w:szCs w:val="20"/>
                <w:lang w:eastAsia="fr-FR"/>
              </w:rPr>
              <w:t>Responsible Entities</w:t>
            </w:r>
          </w:p>
        </w:tc>
        <w:tc>
          <w:tcPr>
            <w:tcW w:w="0" w:type="auto"/>
            <w:shd w:val="clear" w:color="auto" w:fill="748A96"/>
            <w:hideMark/>
          </w:tcPr>
          <w:p w14:paraId="4179F934" w14:textId="77777777" w:rsidR="007D17E1" w:rsidRPr="00C52386" w:rsidRDefault="007D17E1" w:rsidP="0092022E">
            <w:pPr>
              <w:spacing w:after="40"/>
              <w:rPr>
                <w:rFonts w:ascii="Calibri" w:hAnsi="Calibri" w:cs="Calibri"/>
                <w:b/>
                <w:bCs/>
                <w:color w:val="FFFFFF" w:themeColor="background1"/>
                <w:sz w:val="20"/>
                <w:szCs w:val="20"/>
                <w:lang w:eastAsia="fr-FR"/>
              </w:rPr>
            </w:pPr>
            <w:r w:rsidRPr="00C52386">
              <w:rPr>
                <w:rFonts w:ascii="Calibri" w:hAnsi="Calibri" w:cs="Calibri"/>
                <w:b/>
                <w:bCs/>
                <w:color w:val="FFFFFF" w:themeColor="background1"/>
                <w:sz w:val="20"/>
                <w:szCs w:val="20"/>
                <w:lang w:eastAsia="fr-FR"/>
              </w:rPr>
              <w:t>Disaggregation</w:t>
            </w:r>
          </w:p>
        </w:tc>
        <w:tc>
          <w:tcPr>
            <w:tcW w:w="0" w:type="auto"/>
            <w:shd w:val="clear" w:color="auto" w:fill="748A96"/>
            <w:hideMark/>
          </w:tcPr>
          <w:p w14:paraId="7F5A26EA" w14:textId="77777777" w:rsidR="007D17E1" w:rsidRPr="00C52386" w:rsidRDefault="007D17E1" w:rsidP="0092022E">
            <w:pPr>
              <w:spacing w:after="40"/>
              <w:rPr>
                <w:rFonts w:ascii="Calibri" w:hAnsi="Calibri" w:cs="Calibri"/>
                <w:b/>
                <w:bCs/>
                <w:color w:val="FFFFFF" w:themeColor="background1"/>
                <w:sz w:val="20"/>
                <w:szCs w:val="20"/>
                <w:lang w:eastAsia="fr-FR"/>
              </w:rPr>
            </w:pPr>
            <w:r w:rsidRPr="00C52386">
              <w:rPr>
                <w:rFonts w:ascii="Calibri" w:hAnsi="Calibri" w:cs="Calibri"/>
                <w:b/>
                <w:bCs/>
                <w:color w:val="FFFFFF" w:themeColor="background1"/>
                <w:sz w:val="20"/>
                <w:szCs w:val="20"/>
                <w:lang w:eastAsia="fr-FR"/>
              </w:rPr>
              <w:t>Frequency</w:t>
            </w:r>
          </w:p>
        </w:tc>
        <w:tc>
          <w:tcPr>
            <w:tcW w:w="0" w:type="auto"/>
            <w:shd w:val="clear" w:color="auto" w:fill="748A96"/>
            <w:hideMark/>
          </w:tcPr>
          <w:p w14:paraId="4093D5D8" w14:textId="77777777" w:rsidR="007D17E1" w:rsidRPr="00C52386" w:rsidRDefault="007D17E1" w:rsidP="0092022E">
            <w:pPr>
              <w:spacing w:after="40"/>
              <w:rPr>
                <w:rFonts w:ascii="Calibri" w:hAnsi="Calibri" w:cs="Calibri"/>
                <w:b/>
                <w:bCs/>
                <w:color w:val="FFFFFF" w:themeColor="background1"/>
                <w:sz w:val="20"/>
                <w:szCs w:val="20"/>
                <w:lang w:eastAsia="fr-FR"/>
              </w:rPr>
            </w:pPr>
            <w:r w:rsidRPr="00C52386">
              <w:rPr>
                <w:rFonts w:ascii="Calibri" w:hAnsi="Calibri" w:cs="Calibri"/>
                <w:b/>
                <w:bCs/>
                <w:color w:val="FFFFFF" w:themeColor="background1"/>
                <w:sz w:val="20"/>
                <w:szCs w:val="20"/>
                <w:lang w:eastAsia="fr-FR"/>
              </w:rPr>
              <w:t>Format</w:t>
            </w:r>
          </w:p>
        </w:tc>
        <w:tc>
          <w:tcPr>
            <w:tcW w:w="0" w:type="auto"/>
            <w:shd w:val="clear" w:color="auto" w:fill="748A96"/>
            <w:hideMark/>
          </w:tcPr>
          <w:p w14:paraId="027F9C9C" w14:textId="77777777" w:rsidR="007D17E1" w:rsidRPr="00C52386" w:rsidRDefault="007D17E1" w:rsidP="0092022E">
            <w:pPr>
              <w:spacing w:after="40"/>
              <w:rPr>
                <w:rFonts w:ascii="Calibri" w:hAnsi="Calibri" w:cs="Calibri"/>
                <w:b/>
                <w:bCs/>
                <w:color w:val="FFFFFF" w:themeColor="background1"/>
                <w:sz w:val="20"/>
                <w:szCs w:val="20"/>
                <w:lang w:eastAsia="fr-FR"/>
              </w:rPr>
            </w:pPr>
            <w:r w:rsidRPr="00C52386">
              <w:rPr>
                <w:rFonts w:ascii="Calibri" w:hAnsi="Calibri" w:cs="Calibri"/>
                <w:b/>
                <w:bCs/>
                <w:color w:val="FFFFFF" w:themeColor="background1"/>
                <w:sz w:val="20"/>
                <w:szCs w:val="20"/>
                <w:lang w:eastAsia="fr-FR"/>
              </w:rPr>
              <w:t>Publication Channels</w:t>
            </w:r>
          </w:p>
        </w:tc>
      </w:tr>
      <w:tr w:rsidR="007D17E1" w:rsidRPr="009348C9" w14:paraId="4206D4E7" w14:textId="77777777" w:rsidTr="0092022E">
        <w:tc>
          <w:tcPr>
            <w:tcW w:w="0" w:type="auto"/>
            <w:hideMark/>
          </w:tcPr>
          <w:p w14:paraId="613E7217"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Extractive Industries’ Contribution to GDP</w:t>
            </w:r>
          </w:p>
        </w:tc>
        <w:tc>
          <w:tcPr>
            <w:tcW w:w="0" w:type="auto"/>
            <w:hideMark/>
          </w:tcPr>
          <w:p w14:paraId="33ABD212"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Total and percentage contribution of oil, gas, and mining to Iraq’s GDP.</w:t>
            </w:r>
          </w:p>
        </w:tc>
        <w:tc>
          <w:tcPr>
            <w:tcW w:w="0" w:type="auto"/>
            <w:hideMark/>
          </w:tcPr>
          <w:p w14:paraId="61A6BDBA"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Central Statistical Organization / Ministry of Planning</w:t>
            </w:r>
          </w:p>
          <w:p w14:paraId="54C96375"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Central Bank of Iraq</w:t>
            </w:r>
          </w:p>
        </w:tc>
        <w:tc>
          <w:tcPr>
            <w:tcW w:w="0" w:type="auto"/>
            <w:hideMark/>
          </w:tcPr>
          <w:p w14:paraId="4CF96601"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By sector (oil, gas, mining)</w:t>
            </w:r>
          </w:p>
        </w:tc>
        <w:tc>
          <w:tcPr>
            <w:tcW w:w="0" w:type="auto"/>
            <w:hideMark/>
          </w:tcPr>
          <w:p w14:paraId="16CB20CA"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Annually</w:t>
            </w:r>
          </w:p>
        </w:tc>
        <w:tc>
          <w:tcPr>
            <w:tcW w:w="0" w:type="auto"/>
            <w:hideMark/>
          </w:tcPr>
          <w:p w14:paraId="09B5927E" w14:textId="77777777" w:rsidR="007D17E1" w:rsidRPr="009348C9" w:rsidRDefault="007D17E1" w:rsidP="0092022E">
            <w:pPr>
              <w:spacing w:after="40"/>
              <w:rPr>
                <w:rFonts w:ascii="Calibri" w:hAnsi="Calibri" w:cs="Calibri"/>
                <w:sz w:val="20"/>
                <w:szCs w:val="20"/>
                <w:lang w:eastAsia="fr-FR"/>
              </w:rPr>
            </w:pPr>
            <w:r w:rsidRPr="00072FD3">
              <w:rPr>
                <w:rFonts w:ascii="Calibri" w:hAnsi="Calibri" w:cs="Calibri"/>
                <w:b/>
                <w:bCs/>
                <w:sz w:val="20"/>
                <w:szCs w:val="20"/>
                <w:lang w:eastAsia="fr-FR"/>
              </w:rPr>
              <w:t>CSV, HTML</w:t>
            </w:r>
            <w:r w:rsidRPr="00072FD3">
              <w:rPr>
                <w:rFonts w:ascii="Calibri" w:hAnsi="Calibri" w:cs="Calibri"/>
                <w:sz w:val="20"/>
                <w:szCs w:val="20"/>
                <w:lang w:eastAsia="fr-FR"/>
              </w:rPr>
              <w:t xml:space="preserve"> (PDF optional)</w:t>
            </w:r>
          </w:p>
        </w:tc>
        <w:tc>
          <w:tcPr>
            <w:tcW w:w="0" w:type="auto"/>
            <w:hideMark/>
          </w:tcPr>
          <w:p w14:paraId="15C1AC97" w14:textId="0A77D79F" w:rsidR="007D17E1" w:rsidRPr="009348C9" w:rsidRDefault="0055261B" w:rsidP="0092022E">
            <w:pPr>
              <w:spacing w:after="40"/>
              <w:rPr>
                <w:rFonts w:ascii="Calibri" w:hAnsi="Calibri" w:cs="Calibri"/>
                <w:sz w:val="20"/>
                <w:szCs w:val="20"/>
                <w:lang w:eastAsia="fr-FR"/>
              </w:rPr>
            </w:pPr>
            <w:r>
              <w:rPr>
                <w:rFonts w:ascii="Calibri" w:eastAsia="Times New Roman" w:hAnsi="Calibri" w:cs="Calibri"/>
                <w:color w:val="0D0D0D"/>
                <w:kern w:val="0"/>
                <w:sz w:val="20"/>
                <w:szCs w:val="20"/>
                <w:lang w:eastAsia="fr-FR"/>
                <w14:ligatures w14:val="none"/>
              </w:rPr>
              <w:t>NRTC</w:t>
            </w:r>
            <w:r w:rsidR="007D17E1" w:rsidRPr="009348C9">
              <w:rPr>
                <w:rFonts w:ascii="Calibri" w:hAnsi="Calibri" w:cs="Calibri"/>
                <w:sz w:val="20"/>
                <w:szCs w:val="20"/>
                <w:lang w:eastAsia="fr-FR"/>
              </w:rPr>
              <w:t xml:space="preserve"> Iraq portal, Ministry of Planning /CBI Website</w:t>
            </w:r>
          </w:p>
        </w:tc>
      </w:tr>
      <w:tr w:rsidR="007D17E1" w:rsidRPr="009348C9" w14:paraId="7F7AF2D4" w14:textId="77777777" w:rsidTr="0092022E">
        <w:tc>
          <w:tcPr>
            <w:tcW w:w="0" w:type="auto"/>
            <w:hideMark/>
          </w:tcPr>
          <w:p w14:paraId="1B2276AA"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Extractive Industries’ Contribution to Export</w:t>
            </w:r>
          </w:p>
        </w:tc>
        <w:tc>
          <w:tcPr>
            <w:tcW w:w="0" w:type="auto"/>
            <w:hideMark/>
          </w:tcPr>
          <w:p w14:paraId="142F1BF2"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Value and volume of oil, gas, and mineral exports as a percentage of total exports.</w:t>
            </w:r>
          </w:p>
        </w:tc>
        <w:tc>
          <w:tcPr>
            <w:tcW w:w="0" w:type="auto"/>
            <w:hideMark/>
          </w:tcPr>
          <w:p w14:paraId="6E4FD1A0"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 xml:space="preserve">SOMO, Ministry of planning , </w:t>
            </w:r>
            <w:r w:rsidRPr="009348C9">
              <w:rPr>
                <w:rFonts w:ascii="Calibri" w:eastAsia="Times New Roman" w:hAnsi="Calibri" w:cs="Calibri"/>
                <w:color w:val="0D0D0D"/>
                <w:kern w:val="0"/>
                <w:sz w:val="20"/>
                <w:szCs w:val="20"/>
                <w:lang w:eastAsia="fr-FR"/>
                <w14:ligatures w14:val="none"/>
              </w:rPr>
              <w:t>Ministry of Industry and Minerals</w:t>
            </w:r>
          </w:p>
          <w:p w14:paraId="0729E89B" w14:textId="77777777" w:rsidR="007D17E1" w:rsidRPr="009348C9" w:rsidRDefault="007D17E1" w:rsidP="0092022E">
            <w:pPr>
              <w:spacing w:after="40"/>
              <w:rPr>
                <w:rFonts w:ascii="Calibri" w:hAnsi="Calibri" w:cs="Calibri"/>
                <w:sz w:val="20"/>
                <w:szCs w:val="20"/>
                <w:lang w:eastAsia="fr-FR"/>
              </w:rPr>
            </w:pPr>
          </w:p>
        </w:tc>
        <w:tc>
          <w:tcPr>
            <w:tcW w:w="0" w:type="auto"/>
            <w:hideMark/>
          </w:tcPr>
          <w:p w14:paraId="6DCD30FD"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By commodity, destination</w:t>
            </w:r>
          </w:p>
        </w:tc>
        <w:tc>
          <w:tcPr>
            <w:tcW w:w="0" w:type="auto"/>
            <w:hideMark/>
          </w:tcPr>
          <w:p w14:paraId="73DD39F7"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Annually</w:t>
            </w:r>
          </w:p>
        </w:tc>
        <w:tc>
          <w:tcPr>
            <w:tcW w:w="0" w:type="auto"/>
            <w:hideMark/>
          </w:tcPr>
          <w:p w14:paraId="0905B3D7" w14:textId="77777777" w:rsidR="007D17E1" w:rsidRPr="009348C9" w:rsidRDefault="007D17E1" w:rsidP="0092022E">
            <w:pPr>
              <w:spacing w:after="40"/>
              <w:rPr>
                <w:rFonts w:ascii="Calibri" w:hAnsi="Calibri" w:cs="Calibri"/>
                <w:sz w:val="20"/>
                <w:szCs w:val="20"/>
                <w:lang w:eastAsia="fr-FR"/>
              </w:rPr>
            </w:pPr>
            <w:r w:rsidRPr="00E06E03">
              <w:rPr>
                <w:rFonts w:ascii="Calibri" w:hAnsi="Calibri" w:cs="Calibri"/>
                <w:b/>
                <w:bCs/>
                <w:sz w:val="20"/>
                <w:szCs w:val="20"/>
                <w:lang w:eastAsia="fr-FR"/>
              </w:rPr>
              <w:t>CSV, HTML</w:t>
            </w:r>
            <w:r w:rsidRPr="00E06E03">
              <w:rPr>
                <w:rFonts w:ascii="Calibri" w:hAnsi="Calibri" w:cs="Calibri"/>
                <w:sz w:val="20"/>
                <w:szCs w:val="20"/>
                <w:lang w:eastAsia="fr-FR"/>
              </w:rPr>
              <w:t xml:space="preserve"> (PDF optional)</w:t>
            </w:r>
          </w:p>
        </w:tc>
        <w:tc>
          <w:tcPr>
            <w:tcW w:w="0" w:type="auto"/>
            <w:hideMark/>
          </w:tcPr>
          <w:p w14:paraId="3AD1035E" w14:textId="7DC4D500" w:rsidR="007D17E1" w:rsidRPr="009348C9" w:rsidRDefault="0055261B" w:rsidP="0092022E">
            <w:pPr>
              <w:spacing w:after="40"/>
              <w:rPr>
                <w:rFonts w:ascii="Calibri" w:hAnsi="Calibri" w:cs="Calibri"/>
                <w:sz w:val="20"/>
                <w:szCs w:val="20"/>
                <w:lang w:eastAsia="fr-FR"/>
              </w:rPr>
            </w:pPr>
            <w:r>
              <w:rPr>
                <w:rFonts w:ascii="Calibri" w:eastAsia="Times New Roman" w:hAnsi="Calibri" w:cs="Calibri"/>
                <w:color w:val="0D0D0D"/>
                <w:kern w:val="0"/>
                <w:sz w:val="20"/>
                <w:szCs w:val="20"/>
                <w:lang w:eastAsia="fr-FR"/>
                <w14:ligatures w14:val="none"/>
              </w:rPr>
              <w:t>NRTC</w:t>
            </w:r>
            <w:r w:rsidR="007D17E1" w:rsidRPr="009348C9">
              <w:rPr>
                <w:rFonts w:ascii="Calibri" w:hAnsi="Calibri" w:cs="Calibri"/>
                <w:sz w:val="20"/>
                <w:szCs w:val="20"/>
                <w:lang w:eastAsia="fr-FR"/>
              </w:rPr>
              <w:t xml:space="preserve"> Iraq portal, SOMO &amp; Ministries websites</w:t>
            </w:r>
          </w:p>
        </w:tc>
      </w:tr>
      <w:tr w:rsidR="007D17E1" w:rsidRPr="009348C9" w14:paraId="760FC73F" w14:textId="77777777" w:rsidTr="0092022E">
        <w:tc>
          <w:tcPr>
            <w:tcW w:w="0" w:type="auto"/>
          </w:tcPr>
          <w:p w14:paraId="2AC2AC5F"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Extractive Industries’ Contribution to State revenues</w:t>
            </w:r>
          </w:p>
        </w:tc>
        <w:tc>
          <w:tcPr>
            <w:tcW w:w="0" w:type="auto"/>
          </w:tcPr>
          <w:p w14:paraId="095B8E02" w14:textId="77777777" w:rsidR="007D17E1" w:rsidRPr="009348C9" w:rsidRDefault="007D17E1" w:rsidP="0092022E">
            <w:pPr>
              <w:spacing w:after="40"/>
              <w:rPr>
                <w:rFonts w:ascii="Calibri" w:hAnsi="Calibri" w:cs="Calibri"/>
                <w:sz w:val="20"/>
                <w:szCs w:val="20"/>
                <w:lang w:eastAsia="fr-FR"/>
              </w:rPr>
            </w:pPr>
          </w:p>
        </w:tc>
        <w:tc>
          <w:tcPr>
            <w:tcW w:w="0" w:type="auto"/>
          </w:tcPr>
          <w:p w14:paraId="18639FDF"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Ministry of Finance</w:t>
            </w:r>
          </w:p>
          <w:p w14:paraId="40F8E9E1" w14:textId="77777777" w:rsidR="007D17E1" w:rsidRPr="009348C9" w:rsidRDefault="007D17E1" w:rsidP="0092022E">
            <w:pPr>
              <w:spacing w:after="40"/>
              <w:rPr>
                <w:rFonts w:ascii="Calibri" w:hAnsi="Calibri" w:cs="Calibri"/>
                <w:sz w:val="20"/>
                <w:szCs w:val="20"/>
                <w:lang w:eastAsia="fr-FR"/>
              </w:rPr>
            </w:pPr>
          </w:p>
        </w:tc>
        <w:tc>
          <w:tcPr>
            <w:tcW w:w="0" w:type="auto"/>
          </w:tcPr>
          <w:p w14:paraId="28313B99"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 xml:space="preserve">By commodity, </w:t>
            </w:r>
          </w:p>
        </w:tc>
        <w:tc>
          <w:tcPr>
            <w:tcW w:w="0" w:type="auto"/>
          </w:tcPr>
          <w:p w14:paraId="03C834C7"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Annually</w:t>
            </w:r>
          </w:p>
        </w:tc>
        <w:tc>
          <w:tcPr>
            <w:tcW w:w="0" w:type="auto"/>
          </w:tcPr>
          <w:p w14:paraId="329D61C1" w14:textId="77777777" w:rsidR="007D17E1" w:rsidRPr="009348C9" w:rsidRDefault="007D17E1" w:rsidP="0092022E">
            <w:pPr>
              <w:spacing w:after="40"/>
              <w:rPr>
                <w:rFonts w:ascii="Calibri" w:hAnsi="Calibri" w:cs="Calibri"/>
                <w:sz w:val="20"/>
                <w:szCs w:val="20"/>
                <w:lang w:eastAsia="fr-FR"/>
              </w:rPr>
            </w:pPr>
            <w:r w:rsidRPr="00E06E03">
              <w:rPr>
                <w:rFonts w:ascii="Calibri" w:hAnsi="Calibri" w:cs="Calibri"/>
                <w:b/>
                <w:bCs/>
                <w:sz w:val="20"/>
                <w:szCs w:val="20"/>
                <w:lang w:eastAsia="fr-FR"/>
              </w:rPr>
              <w:t>CSV, HTML</w:t>
            </w:r>
            <w:r w:rsidRPr="00E06E03">
              <w:rPr>
                <w:rFonts w:ascii="Calibri" w:hAnsi="Calibri" w:cs="Calibri"/>
                <w:sz w:val="20"/>
                <w:szCs w:val="20"/>
                <w:lang w:eastAsia="fr-FR"/>
              </w:rPr>
              <w:t xml:space="preserve"> (PDF optional)</w:t>
            </w:r>
          </w:p>
        </w:tc>
        <w:tc>
          <w:tcPr>
            <w:tcW w:w="0" w:type="auto"/>
          </w:tcPr>
          <w:p w14:paraId="5ABBEA13" w14:textId="3EF09874" w:rsidR="007D17E1" w:rsidRPr="009348C9" w:rsidRDefault="0029544A" w:rsidP="0092022E">
            <w:pPr>
              <w:spacing w:after="40"/>
              <w:rPr>
                <w:rFonts w:ascii="Calibri" w:hAnsi="Calibri" w:cs="Calibri"/>
                <w:sz w:val="20"/>
                <w:szCs w:val="20"/>
                <w:lang w:eastAsia="fr-FR"/>
              </w:rPr>
            </w:pPr>
            <w:r>
              <w:rPr>
                <w:rFonts w:ascii="Calibri" w:eastAsia="Times New Roman" w:hAnsi="Calibri" w:cs="Calibri"/>
                <w:color w:val="0D0D0D"/>
                <w:kern w:val="0"/>
                <w:sz w:val="20"/>
                <w:szCs w:val="20"/>
                <w:lang w:eastAsia="fr-FR"/>
                <w14:ligatures w14:val="none"/>
              </w:rPr>
              <w:t>NRTC</w:t>
            </w:r>
            <w:r w:rsidR="007D17E1" w:rsidRPr="009348C9">
              <w:rPr>
                <w:rFonts w:ascii="Calibri" w:hAnsi="Calibri" w:cs="Calibri"/>
                <w:sz w:val="20"/>
                <w:szCs w:val="20"/>
                <w:lang w:eastAsia="fr-FR"/>
              </w:rPr>
              <w:t xml:space="preserve"> Iraq portal, MoF website</w:t>
            </w:r>
          </w:p>
        </w:tc>
      </w:tr>
      <w:tr w:rsidR="007D17E1" w:rsidRPr="009348C9" w14:paraId="34C2F23B" w14:textId="77777777" w:rsidTr="0092022E">
        <w:tc>
          <w:tcPr>
            <w:tcW w:w="0" w:type="auto"/>
            <w:hideMark/>
          </w:tcPr>
          <w:p w14:paraId="565BAEC0"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Employment in the Extractive Sector</w:t>
            </w:r>
          </w:p>
        </w:tc>
        <w:tc>
          <w:tcPr>
            <w:tcW w:w="0" w:type="auto"/>
            <w:hideMark/>
          </w:tcPr>
          <w:p w14:paraId="164BE720"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Workforce data in SOEs and IOCs, including gender and occupation levels.</w:t>
            </w:r>
          </w:p>
        </w:tc>
        <w:tc>
          <w:tcPr>
            <w:tcW w:w="0" w:type="auto"/>
            <w:hideMark/>
          </w:tcPr>
          <w:p w14:paraId="78EE7543"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Central Statistical Organization / Ministry of Planning</w:t>
            </w:r>
          </w:p>
        </w:tc>
        <w:tc>
          <w:tcPr>
            <w:tcW w:w="0" w:type="auto"/>
            <w:hideMark/>
          </w:tcPr>
          <w:p w14:paraId="6F1585D8"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By sector (oil, gas, mining), By company, project, occupation, gender</w:t>
            </w:r>
          </w:p>
        </w:tc>
        <w:tc>
          <w:tcPr>
            <w:tcW w:w="0" w:type="auto"/>
            <w:hideMark/>
          </w:tcPr>
          <w:p w14:paraId="27BCAF13"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Annually</w:t>
            </w:r>
          </w:p>
        </w:tc>
        <w:tc>
          <w:tcPr>
            <w:tcW w:w="0" w:type="auto"/>
            <w:hideMark/>
          </w:tcPr>
          <w:p w14:paraId="0C952C45" w14:textId="77777777" w:rsidR="007D17E1" w:rsidRPr="009348C9" w:rsidRDefault="007D17E1" w:rsidP="0092022E">
            <w:pPr>
              <w:spacing w:after="40"/>
              <w:rPr>
                <w:rFonts w:ascii="Calibri" w:hAnsi="Calibri" w:cs="Calibri"/>
                <w:sz w:val="20"/>
                <w:szCs w:val="20"/>
                <w:lang w:eastAsia="fr-FR"/>
              </w:rPr>
            </w:pPr>
            <w:r w:rsidRPr="009A307B">
              <w:rPr>
                <w:rFonts w:ascii="Calibri" w:hAnsi="Calibri" w:cs="Calibri"/>
                <w:b/>
                <w:bCs/>
                <w:sz w:val="20"/>
                <w:szCs w:val="20"/>
                <w:lang w:eastAsia="fr-FR"/>
              </w:rPr>
              <w:t>CSV, HTML</w:t>
            </w:r>
            <w:r w:rsidRPr="009A307B">
              <w:rPr>
                <w:rFonts w:ascii="Calibri" w:hAnsi="Calibri" w:cs="Calibri"/>
                <w:sz w:val="20"/>
                <w:szCs w:val="20"/>
                <w:lang w:eastAsia="fr-FR"/>
              </w:rPr>
              <w:t xml:space="preserve"> (PDF optional)</w:t>
            </w:r>
          </w:p>
        </w:tc>
        <w:tc>
          <w:tcPr>
            <w:tcW w:w="0" w:type="auto"/>
            <w:hideMark/>
          </w:tcPr>
          <w:p w14:paraId="51D007AA" w14:textId="6362E920" w:rsidR="007D17E1" w:rsidRPr="009348C9" w:rsidRDefault="0029544A" w:rsidP="0092022E">
            <w:pPr>
              <w:spacing w:after="40"/>
              <w:rPr>
                <w:rFonts w:ascii="Calibri" w:hAnsi="Calibri" w:cs="Calibri"/>
                <w:sz w:val="20"/>
                <w:szCs w:val="20"/>
                <w:lang w:eastAsia="fr-FR"/>
              </w:rPr>
            </w:pPr>
            <w:r>
              <w:rPr>
                <w:rFonts w:ascii="Calibri" w:eastAsia="Times New Roman" w:hAnsi="Calibri" w:cs="Calibri"/>
                <w:color w:val="0D0D0D"/>
                <w:kern w:val="0"/>
                <w:sz w:val="20"/>
                <w:szCs w:val="20"/>
                <w:lang w:eastAsia="fr-FR"/>
                <w14:ligatures w14:val="none"/>
              </w:rPr>
              <w:t>NRTC</w:t>
            </w:r>
            <w:r w:rsidR="007D17E1" w:rsidRPr="009348C9">
              <w:rPr>
                <w:rFonts w:ascii="Calibri" w:hAnsi="Calibri" w:cs="Calibri"/>
                <w:sz w:val="20"/>
                <w:szCs w:val="20"/>
                <w:lang w:eastAsia="fr-FR"/>
              </w:rPr>
              <w:t xml:space="preserve"> Iraq portal, Ministry of Planning website</w:t>
            </w:r>
          </w:p>
        </w:tc>
      </w:tr>
      <w:tr w:rsidR="007D17E1" w:rsidRPr="009348C9" w14:paraId="61AE09AD" w14:textId="77777777" w:rsidTr="0092022E">
        <w:tc>
          <w:tcPr>
            <w:tcW w:w="0" w:type="auto"/>
            <w:hideMark/>
          </w:tcPr>
          <w:p w14:paraId="35D3835F"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Key Production Regions</w:t>
            </w:r>
          </w:p>
        </w:tc>
        <w:tc>
          <w:tcPr>
            <w:tcW w:w="0" w:type="auto"/>
            <w:hideMark/>
          </w:tcPr>
          <w:p w14:paraId="0E63A75C"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Geographic distribution of oil, gas, and mining operations in Iraq and Kurdistan.</w:t>
            </w:r>
          </w:p>
        </w:tc>
        <w:tc>
          <w:tcPr>
            <w:tcW w:w="0" w:type="auto"/>
            <w:hideMark/>
          </w:tcPr>
          <w:p w14:paraId="201831B7"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Ministry of Oil, Ministry of Industry and Minerals</w:t>
            </w:r>
          </w:p>
        </w:tc>
        <w:tc>
          <w:tcPr>
            <w:tcW w:w="0" w:type="auto"/>
            <w:hideMark/>
          </w:tcPr>
          <w:p w14:paraId="5B380349"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By region, governorate</w:t>
            </w:r>
          </w:p>
        </w:tc>
        <w:tc>
          <w:tcPr>
            <w:tcW w:w="0" w:type="auto"/>
            <w:hideMark/>
          </w:tcPr>
          <w:p w14:paraId="0EE2DE24"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Annually</w:t>
            </w:r>
          </w:p>
        </w:tc>
        <w:tc>
          <w:tcPr>
            <w:tcW w:w="0" w:type="auto"/>
            <w:hideMark/>
          </w:tcPr>
          <w:p w14:paraId="3070BDA8" w14:textId="77777777" w:rsidR="007D17E1" w:rsidRPr="009348C9" w:rsidRDefault="007D17E1" w:rsidP="0092022E">
            <w:pPr>
              <w:spacing w:after="40"/>
              <w:rPr>
                <w:rFonts w:ascii="Calibri" w:hAnsi="Calibri" w:cs="Calibri"/>
                <w:sz w:val="20"/>
                <w:szCs w:val="20"/>
                <w:lang w:eastAsia="fr-FR"/>
              </w:rPr>
            </w:pPr>
            <w:r w:rsidRPr="009A307B">
              <w:rPr>
                <w:rFonts w:ascii="Calibri" w:hAnsi="Calibri" w:cs="Calibri"/>
                <w:b/>
                <w:bCs/>
                <w:sz w:val="20"/>
                <w:szCs w:val="20"/>
                <w:lang w:eastAsia="fr-FR"/>
              </w:rPr>
              <w:t>GIS, HTML</w:t>
            </w:r>
            <w:r w:rsidRPr="009A307B">
              <w:rPr>
                <w:rFonts w:ascii="Calibri" w:hAnsi="Calibri" w:cs="Calibri"/>
                <w:sz w:val="20"/>
                <w:szCs w:val="20"/>
                <w:lang w:eastAsia="fr-FR"/>
              </w:rPr>
              <w:t xml:space="preserve"> (PDF optional)</w:t>
            </w:r>
          </w:p>
        </w:tc>
        <w:tc>
          <w:tcPr>
            <w:tcW w:w="0" w:type="auto"/>
            <w:hideMark/>
          </w:tcPr>
          <w:p w14:paraId="7028A0CF" w14:textId="74AAE94A" w:rsidR="007D17E1" w:rsidRPr="009348C9" w:rsidRDefault="0029544A" w:rsidP="0092022E">
            <w:pPr>
              <w:spacing w:after="40"/>
              <w:rPr>
                <w:rFonts w:ascii="Calibri" w:hAnsi="Calibri" w:cs="Calibri"/>
                <w:sz w:val="20"/>
                <w:szCs w:val="20"/>
                <w:lang w:eastAsia="fr-FR"/>
              </w:rPr>
            </w:pPr>
            <w:r>
              <w:rPr>
                <w:rFonts w:ascii="Calibri" w:eastAsia="Times New Roman" w:hAnsi="Calibri" w:cs="Calibri"/>
                <w:color w:val="0D0D0D"/>
                <w:kern w:val="0"/>
                <w:sz w:val="20"/>
                <w:szCs w:val="20"/>
                <w:lang w:eastAsia="fr-FR"/>
                <w14:ligatures w14:val="none"/>
              </w:rPr>
              <w:t>NRTC</w:t>
            </w:r>
            <w:r w:rsidR="007D17E1" w:rsidRPr="009348C9">
              <w:rPr>
                <w:rFonts w:ascii="Calibri" w:hAnsi="Calibri" w:cs="Calibri"/>
                <w:sz w:val="20"/>
                <w:szCs w:val="20"/>
                <w:lang w:eastAsia="fr-FR"/>
              </w:rPr>
              <w:t xml:space="preserve"> Iraq portal, Ministries website</w:t>
            </w:r>
          </w:p>
        </w:tc>
      </w:tr>
      <w:tr w:rsidR="007D17E1" w:rsidRPr="009348C9" w14:paraId="22B81DDE" w14:textId="77777777" w:rsidTr="0092022E">
        <w:tc>
          <w:tcPr>
            <w:tcW w:w="0" w:type="auto"/>
            <w:hideMark/>
          </w:tcPr>
          <w:p w14:paraId="6CB62203"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Estimates of Informal Extractive Activities</w:t>
            </w:r>
          </w:p>
        </w:tc>
        <w:tc>
          <w:tcPr>
            <w:tcW w:w="0" w:type="auto"/>
            <w:hideMark/>
          </w:tcPr>
          <w:p w14:paraId="2243CA13"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Estimates of informal oil smuggling, illegal refining, and artisanal and small-scale mining (if applicable).</w:t>
            </w:r>
          </w:p>
        </w:tc>
        <w:tc>
          <w:tcPr>
            <w:tcW w:w="0" w:type="auto"/>
            <w:hideMark/>
          </w:tcPr>
          <w:p w14:paraId="1DABED7B"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 xml:space="preserve">Ministry of Oil, Ministry of Industry and Minerals, </w:t>
            </w:r>
          </w:p>
          <w:p w14:paraId="67C25276"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Ministry of Planning Central Bank of Iraq</w:t>
            </w:r>
          </w:p>
        </w:tc>
        <w:tc>
          <w:tcPr>
            <w:tcW w:w="0" w:type="auto"/>
            <w:hideMark/>
          </w:tcPr>
          <w:p w14:paraId="24E25D59"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By activity type, region</w:t>
            </w:r>
          </w:p>
        </w:tc>
        <w:tc>
          <w:tcPr>
            <w:tcW w:w="0" w:type="auto"/>
            <w:hideMark/>
          </w:tcPr>
          <w:p w14:paraId="1B23E910" w14:textId="77777777" w:rsidR="007D17E1" w:rsidRPr="009348C9" w:rsidRDefault="007D17E1" w:rsidP="0092022E">
            <w:pPr>
              <w:spacing w:after="40"/>
              <w:rPr>
                <w:rFonts w:ascii="Calibri" w:hAnsi="Calibri" w:cs="Calibri"/>
                <w:sz w:val="20"/>
                <w:szCs w:val="20"/>
                <w:lang w:eastAsia="fr-FR"/>
              </w:rPr>
            </w:pPr>
            <w:r w:rsidRPr="009348C9">
              <w:rPr>
                <w:rFonts w:ascii="Calibri" w:hAnsi="Calibri" w:cs="Calibri"/>
                <w:sz w:val="20"/>
                <w:szCs w:val="20"/>
                <w:lang w:eastAsia="fr-FR"/>
              </w:rPr>
              <w:t>Annually &amp; Updates</w:t>
            </w:r>
          </w:p>
        </w:tc>
        <w:tc>
          <w:tcPr>
            <w:tcW w:w="0" w:type="auto"/>
            <w:hideMark/>
          </w:tcPr>
          <w:p w14:paraId="4BB0DA76" w14:textId="77777777" w:rsidR="007D17E1" w:rsidRPr="009348C9" w:rsidRDefault="007D17E1" w:rsidP="0092022E">
            <w:pPr>
              <w:spacing w:after="40"/>
              <w:rPr>
                <w:rFonts w:ascii="Calibri" w:hAnsi="Calibri" w:cs="Calibri"/>
                <w:sz w:val="20"/>
                <w:szCs w:val="20"/>
                <w:lang w:eastAsia="fr-FR"/>
              </w:rPr>
            </w:pPr>
            <w:r>
              <w:rPr>
                <w:rFonts w:ascii="Calibri" w:hAnsi="Calibri" w:cs="Calibri"/>
                <w:sz w:val="20"/>
                <w:szCs w:val="20"/>
                <w:lang w:eastAsia="fr-FR"/>
              </w:rPr>
              <w:t xml:space="preserve">CSV, </w:t>
            </w:r>
            <w:r w:rsidRPr="009348C9">
              <w:rPr>
                <w:rFonts w:ascii="Calibri" w:hAnsi="Calibri" w:cs="Calibri"/>
                <w:sz w:val="20"/>
                <w:szCs w:val="20"/>
                <w:lang w:eastAsia="fr-FR"/>
              </w:rPr>
              <w:t>PDF</w:t>
            </w:r>
          </w:p>
        </w:tc>
        <w:tc>
          <w:tcPr>
            <w:tcW w:w="0" w:type="auto"/>
            <w:hideMark/>
          </w:tcPr>
          <w:p w14:paraId="5AB9BDED" w14:textId="2179B778" w:rsidR="007D17E1" w:rsidRPr="009348C9" w:rsidRDefault="0029544A" w:rsidP="0092022E">
            <w:pPr>
              <w:spacing w:after="40"/>
              <w:rPr>
                <w:rFonts w:ascii="Calibri" w:hAnsi="Calibri" w:cs="Calibri"/>
                <w:sz w:val="20"/>
                <w:szCs w:val="20"/>
                <w:lang w:eastAsia="fr-FR"/>
              </w:rPr>
            </w:pPr>
            <w:r>
              <w:rPr>
                <w:rFonts w:ascii="Calibri" w:eastAsia="Times New Roman" w:hAnsi="Calibri" w:cs="Calibri"/>
                <w:color w:val="0D0D0D"/>
                <w:kern w:val="0"/>
                <w:sz w:val="20"/>
                <w:szCs w:val="20"/>
                <w:lang w:eastAsia="fr-FR"/>
                <w14:ligatures w14:val="none"/>
              </w:rPr>
              <w:t>NRTC</w:t>
            </w:r>
            <w:r w:rsidR="007D17E1" w:rsidRPr="009348C9">
              <w:rPr>
                <w:rFonts w:ascii="Calibri" w:hAnsi="Calibri" w:cs="Calibri"/>
                <w:sz w:val="20"/>
                <w:szCs w:val="20"/>
                <w:lang w:eastAsia="fr-FR"/>
              </w:rPr>
              <w:t xml:space="preserve"> Iraq portal, Ministry of Oil website</w:t>
            </w:r>
          </w:p>
        </w:tc>
      </w:tr>
    </w:tbl>
    <w:p w14:paraId="3D15B39D" w14:textId="77777777" w:rsidR="002764C0" w:rsidRDefault="002764C0" w:rsidP="002764C0"/>
    <w:p w14:paraId="3480C9D8" w14:textId="29738DA4" w:rsidR="002764C0" w:rsidRDefault="002764C0">
      <w:r>
        <w:br w:type="page"/>
      </w:r>
    </w:p>
    <w:p w14:paraId="1F0946CC" w14:textId="171E75F9" w:rsidR="007D17E1" w:rsidRDefault="007D17E1" w:rsidP="007D17E1">
      <w:pPr>
        <w:pStyle w:val="Heading4"/>
        <w:spacing w:before="120" w:after="120"/>
        <w:rPr>
          <w:rFonts w:ascii="Kohinoor Devanagari" w:hAnsi="Kohinoor Devanagari" w:cs="Kohinoor Devanagari"/>
          <w:b/>
          <w:bCs/>
          <w:sz w:val="22"/>
          <w:szCs w:val="22"/>
        </w:rPr>
      </w:pPr>
      <w:r w:rsidRPr="0092022E">
        <w:rPr>
          <w:rFonts w:ascii="Kohinoor Devanagari" w:hAnsi="Kohinoor Devanagari" w:cs="Kohinoor Devanagari"/>
          <w:b/>
          <w:bCs/>
          <w:sz w:val="22"/>
          <w:szCs w:val="22"/>
        </w:rPr>
        <w:t>Module</w:t>
      </w:r>
      <w:r>
        <w:rPr>
          <w:rFonts w:ascii="Kohinoor Devanagari" w:hAnsi="Kohinoor Devanagari" w:cs="Kohinoor Devanagari"/>
          <w:b/>
          <w:bCs/>
          <w:sz w:val="22"/>
          <w:szCs w:val="22"/>
        </w:rPr>
        <w:t xml:space="preserve"> 2</w:t>
      </w:r>
      <w:r w:rsidRPr="0092022E">
        <w:rPr>
          <w:rFonts w:ascii="Kohinoor Devanagari" w:hAnsi="Kohinoor Devanagari" w:cs="Kohinoor Devanagari"/>
          <w:b/>
          <w:bCs/>
          <w:sz w:val="22"/>
          <w:szCs w:val="22"/>
        </w:rPr>
        <w:t xml:space="preserve">: </w:t>
      </w:r>
      <w:r w:rsidR="005D23F9" w:rsidRPr="0032559C">
        <w:rPr>
          <w:b/>
          <w:bCs/>
        </w:rPr>
        <w:t>Legal and fiscal framework Requirement</w:t>
      </w:r>
    </w:p>
    <w:p w14:paraId="22A7A3B3" w14:textId="0577F5FA" w:rsidR="00EA7894" w:rsidRPr="00A3573B" w:rsidRDefault="005F017B" w:rsidP="00536A4E">
      <w:pPr>
        <w:pStyle w:val="Heading4"/>
        <w:spacing w:before="120" w:after="120"/>
        <w:rPr>
          <w:rFonts w:ascii="Kohinoor Devanagari" w:hAnsi="Kohinoor Devanagari" w:cs="Kohinoor Devanagari"/>
          <w:b/>
          <w:bCs/>
          <w:sz w:val="22"/>
          <w:szCs w:val="22"/>
        </w:rPr>
      </w:pPr>
      <w:r>
        <w:rPr>
          <w:rFonts w:ascii="Kohinoor Devanagari" w:hAnsi="Kohinoor Devanagari" w:cs="Kohinoor Devanagari"/>
          <w:b/>
          <w:bCs/>
          <w:sz w:val="22"/>
          <w:szCs w:val="22"/>
        </w:rPr>
        <w:t>2.1.</w:t>
      </w:r>
      <w:r w:rsidRPr="00A3573B">
        <w:rPr>
          <w:rFonts w:ascii="Kohinoor Devanagari" w:hAnsi="Kohinoor Devanagari" w:cs="Kohinoor Devanagari"/>
          <w:b/>
          <w:bCs/>
          <w:sz w:val="22"/>
          <w:szCs w:val="22"/>
        </w:rPr>
        <w:t xml:space="preserve"> Legal</w:t>
      </w:r>
      <w:r w:rsidR="00EA7894" w:rsidRPr="00A3573B">
        <w:rPr>
          <w:rFonts w:ascii="Kohinoor Devanagari" w:hAnsi="Kohinoor Devanagari" w:cs="Kohinoor Devanagari"/>
          <w:b/>
          <w:bCs/>
          <w:sz w:val="22"/>
          <w:szCs w:val="22"/>
        </w:rPr>
        <w:t xml:space="preserve"> Framework and Fiscal Regime (Requirement 2.1)</w:t>
      </w:r>
    </w:p>
    <w:p w14:paraId="0EE4A5D2" w14:textId="50357697" w:rsidR="00224D85" w:rsidRPr="00A3573B" w:rsidRDefault="00224D85" w:rsidP="00EA7894">
      <w:pPr>
        <w:rPr>
          <w:rFonts w:ascii="Kohinoor Devanagari" w:hAnsi="Kohinoor Devanagari" w:cs="Kohinoor Devanagari"/>
          <w:b/>
          <w:bCs/>
          <w:sz w:val="22"/>
          <w:szCs w:val="22"/>
        </w:rPr>
      </w:pPr>
      <w:r w:rsidRPr="00A3573B">
        <w:rPr>
          <w:rFonts w:ascii="Kohinoor Devanagari" w:hAnsi="Kohinoor Devanagari" w:cs="Kohinoor Devanagari"/>
          <w:b/>
          <w:bCs/>
          <w:sz w:val="22"/>
          <w:szCs w:val="22"/>
        </w:rPr>
        <w:t>Objective</w:t>
      </w:r>
    </w:p>
    <w:p w14:paraId="367250DF" w14:textId="1F25F996" w:rsidR="00EA7894" w:rsidRPr="00A3573B" w:rsidRDefault="00EA7894" w:rsidP="00EA7894">
      <w:pPr>
        <w:rPr>
          <w:rFonts w:ascii="Kohinoor Devanagari" w:hAnsi="Kohinoor Devanagari" w:cs="Kohinoor Devanagari"/>
          <w:sz w:val="22"/>
          <w:szCs w:val="22"/>
        </w:rPr>
      </w:pPr>
      <w:r w:rsidRPr="00A3573B">
        <w:rPr>
          <w:rFonts w:ascii="Kohinoor Devanagari" w:hAnsi="Kohinoor Devanagari" w:cs="Kohinoor Devanagari"/>
          <w:sz w:val="22"/>
          <w:szCs w:val="22"/>
        </w:rPr>
        <w:t>This section outlines the mandatory disclosure requirements for Iraq’s legal and fiscal framework governing the extractive sector at both national and Kurdistan Regional Government (KRG) levels. It ensures public access to information on laws, fiscal terms, and sector reforms, allowing stakeholders to understand sector governance and revenue flows.</w:t>
      </w:r>
    </w:p>
    <w:p w14:paraId="55393F8C" w14:textId="078E6802" w:rsidR="00224D85" w:rsidRDefault="00224D85" w:rsidP="00224D85">
      <w:pPr>
        <w:rPr>
          <w:rFonts w:ascii="Kohinoor Devanagari" w:hAnsi="Kohinoor Devanagari" w:cs="Kohinoor Devanagari"/>
          <w:b/>
          <w:bCs/>
          <w:sz w:val="22"/>
          <w:szCs w:val="22"/>
        </w:rPr>
      </w:pPr>
      <w:r w:rsidRPr="00A3573B">
        <w:rPr>
          <w:rFonts w:ascii="Kohinoor Devanagari" w:hAnsi="Kohinoor Devanagari" w:cs="Kohinoor Devanagari"/>
          <w:b/>
          <w:bCs/>
          <w:sz w:val="22"/>
          <w:szCs w:val="22"/>
        </w:rPr>
        <w:t>Data Disclosure Requirements</w:t>
      </w:r>
    </w:p>
    <w:tbl>
      <w:tblPr>
        <w:tblStyle w:val="TableGrid"/>
        <w:tblW w:w="0" w:type="auto"/>
        <w:tblLook w:val="04A0" w:firstRow="1" w:lastRow="0" w:firstColumn="1" w:lastColumn="0" w:noHBand="0" w:noVBand="1"/>
      </w:tblPr>
      <w:tblGrid>
        <w:gridCol w:w="1455"/>
        <w:gridCol w:w="1829"/>
        <w:gridCol w:w="1287"/>
        <w:gridCol w:w="1468"/>
        <w:gridCol w:w="1042"/>
        <w:gridCol w:w="1093"/>
        <w:gridCol w:w="1164"/>
      </w:tblGrid>
      <w:tr w:rsidR="00F47005" w:rsidRPr="00F47005" w14:paraId="25194CC6" w14:textId="77777777" w:rsidTr="00F47005">
        <w:trPr>
          <w:tblHeader/>
        </w:trPr>
        <w:tc>
          <w:tcPr>
            <w:tcW w:w="0" w:type="auto"/>
            <w:tcBorders>
              <w:top w:val="single" w:sz="4" w:space="0" w:color="89AA5F"/>
              <w:left w:val="single" w:sz="4" w:space="0" w:color="89AA5F"/>
              <w:bottom w:val="single" w:sz="4" w:space="0" w:color="89AA5F"/>
              <w:right w:val="single" w:sz="4" w:space="0" w:color="89AA5F"/>
            </w:tcBorders>
            <w:shd w:val="clear" w:color="auto" w:fill="748A96"/>
            <w:hideMark/>
          </w:tcPr>
          <w:p w14:paraId="70266C89" w14:textId="77777777" w:rsidR="00F178B8" w:rsidRPr="00C52386" w:rsidRDefault="00F178B8" w:rsidP="00C52386">
            <w:pPr>
              <w:spacing w:line="278" w:lineRule="auto"/>
              <w:rPr>
                <w:rFonts w:ascii="Calibri" w:hAnsi="Calibri" w:cs="Calibri"/>
                <w:b/>
                <w:bCs/>
                <w:color w:val="FFFFFF" w:themeColor="background1"/>
                <w:sz w:val="20"/>
                <w:szCs w:val="20"/>
                <w:lang w:val="fr-FR"/>
              </w:rPr>
            </w:pPr>
            <w:r w:rsidRPr="00C52386">
              <w:rPr>
                <w:rFonts w:ascii="Calibri" w:hAnsi="Calibri" w:cs="Calibri"/>
                <w:b/>
                <w:bCs/>
                <w:color w:val="FFFFFF" w:themeColor="background1"/>
                <w:sz w:val="20"/>
                <w:szCs w:val="20"/>
                <w:lang w:val="fr-FR"/>
              </w:rPr>
              <w:t>Data Type</w:t>
            </w:r>
          </w:p>
        </w:tc>
        <w:tc>
          <w:tcPr>
            <w:tcW w:w="0" w:type="auto"/>
            <w:tcBorders>
              <w:top w:val="single" w:sz="4" w:space="0" w:color="89AA5F"/>
              <w:left w:val="single" w:sz="4" w:space="0" w:color="89AA5F"/>
              <w:bottom w:val="single" w:sz="4" w:space="0" w:color="89AA5F"/>
              <w:right w:val="single" w:sz="4" w:space="0" w:color="89AA5F"/>
            </w:tcBorders>
            <w:shd w:val="clear" w:color="auto" w:fill="748A96"/>
            <w:hideMark/>
          </w:tcPr>
          <w:p w14:paraId="0D1EA9C0" w14:textId="77777777" w:rsidR="00F178B8" w:rsidRPr="00C52386" w:rsidRDefault="00F178B8" w:rsidP="00C52386">
            <w:pPr>
              <w:spacing w:line="278" w:lineRule="auto"/>
              <w:rPr>
                <w:rFonts w:ascii="Calibri" w:hAnsi="Calibri" w:cs="Calibri"/>
                <w:b/>
                <w:bCs/>
                <w:color w:val="FFFFFF" w:themeColor="background1"/>
                <w:sz w:val="20"/>
                <w:szCs w:val="20"/>
                <w:lang w:val="fr-FR"/>
              </w:rPr>
            </w:pPr>
            <w:r w:rsidRPr="00C52386">
              <w:rPr>
                <w:rFonts w:ascii="Calibri" w:hAnsi="Calibri" w:cs="Calibri"/>
                <w:b/>
                <w:bCs/>
                <w:color w:val="FFFFFF" w:themeColor="background1"/>
                <w:sz w:val="20"/>
                <w:szCs w:val="20"/>
                <w:lang w:val="fr-FR"/>
              </w:rPr>
              <w:t>Description</w:t>
            </w:r>
          </w:p>
        </w:tc>
        <w:tc>
          <w:tcPr>
            <w:tcW w:w="0" w:type="auto"/>
            <w:tcBorders>
              <w:top w:val="single" w:sz="4" w:space="0" w:color="89AA5F"/>
              <w:left w:val="single" w:sz="4" w:space="0" w:color="89AA5F"/>
              <w:bottom w:val="single" w:sz="4" w:space="0" w:color="89AA5F"/>
              <w:right w:val="single" w:sz="4" w:space="0" w:color="89AA5F"/>
            </w:tcBorders>
            <w:shd w:val="clear" w:color="auto" w:fill="748A96"/>
            <w:hideMark/>
          </w:tcPr>
          <w:p w14:paraId="6C62E677" w14:textId="77777777" w:rsidR="00F178B8" w:rsidRPr="00C52386" w:rsidRDefault="00F178B8" w:rsidP="00C52386">
            <w:pPr>
              <w:spacing w:line="278" w:lineRule="auto"/>
              <w:rPr>
                <w:rFonts w:ascii="Calibri" w:hAnsi="Calibri" w:cs="Calibri"/>
                <w:b/>
                <w:bCs/>
                <w:color w:val="FFFFFF" w:themeColor="background1"/>
                <w:sz w:val="20"/>
                <w:szCs w:val="20"/>
                <w:lang w:val="fr-FR"/>
              </w:rPr>
            </w:pPr>
            <w:proofErr w:type="spellStart"/>
            <w:r w:rsidRPr="00C52386">
              <w:rPr>
                <w:rFonts w:ascii="Calibri" w:hAnsi="Calibri" w:cs="Calibri"/>
                <w:b/>
                <w:bCs/>
                <w:color w:val="FFFFFF" w:themeColor="background1"/>
                <w:sz w:val="20"/>
                <w:szCs w:val="20"/>
                <w:lang w:val="fr-FR"/>
              </w:rPr>
              <w:t>Responsible</w:t>
            </w:r>
            <w:proofErr w:type="spellEnd"/>
            <w:r w:rsidRPr="00C52386">
              <w:rPr>
                <w:rFonts w:ascii="Calibri" w:hAnsi="Calibri" w:cs="Calibri"/>
                <w:b/>
                <w:bCs/>
                <w:color w:val="FFFFFF" w:themeColor="background1"/>
                <w:sz w:val="20"/>
                <w:szCs w:val="20"/>
                <w:lang w:val="fr-FR"/>
              </w:rPr>
              <w:t xml:space="preserve"> </w:t>
            </w:r>
            <w:proofErr w:type="spellStart"/>
            <w:r w:rsidRPr="00C52386">
              <w:rPr>
                <w:rFonts w:ascii="Calibri" w:hAnsi="Calibri" w:cs="Calibri"/>
                <w:b/>
                <w:bCs/>
                <w:color w:val="FFFFFF" w:themeColor="background1"/>
                <w:sz w:val="20"/>
                <w:szCs w:val="20"/>
                <w:lang w:val="fr-FR"/>
              </w:rPr>
              <w:t>Entities</w:t>
            </w:r>
            <w:proofErr w:type="spellEnd"/>
          </w:p>
        </w:tc>
        <w:tc>
          <w:tcPr>
            <w:tcW w:w="0" w:type="auto"/>
            <w:tcBorders>
              <w:top w:val="single" w:sz="4" w:space="0" w:color="89AA5F"/>
              <w:left w:val="single" w:sz="4" w:space="0" w:color="89AA5F"/>
              <w:bottom w:val="single" w:sz="4" w:space="0" w:color="89AA5F"/>
              <w:right w:val="single" w:sz="4" w:space="0" w:color="89AA5F"/>
            </w:tcBorders>
            <w:shd w:val="clear" w:color="auto" w:fill="748A96"/>
            <w:hideMark/>
          </w:tcPr>
          <w:p w14:paraId="29305A85" w14:textId="77777777" w:rsidR="00F178B8" w:rsidRPr="00C52386" w:rsidRDefault="00F178B8" w:rsidP="00C52386">
            <w:pPr>
              <w:spacing w:line="278" w:lineRule="auto"/>
              <w:rPr>
                <w:rFonts w:ascii="Calibri" w:hAnsi="Calibri" w:cs="Calibri"/>
                <w:b/>
                <w:bCs/>
                <w:color w:val="FFFFFF" w:themeColor="background1"/>
                <w:sz w:val="20"/>
                <w:szCs w:val="20"/>
                <w:lang w:val="fr-FR"/>
              </w:rPr>
            </w:pPr>
            <w:proofErr w:type="spellStart"/>
            <w:r w:rsidRPr="00C52386">
              <w:rPr>
                <w:rFonts w:ascii="Calibri" w:hAnsi="Calibri" w:cs="Calibri"/>
                <w:b/>
                <w:bCs/>
                <w:color w:val="FFFFFF" w:themeColor="background1"/>
                <w:sz w:val="20"/>
                <w:szCs w:val="20"/>
                <w:lang w:val="fr-FR"/>
              </w:rPr>
              <w:t>Disaggregation</w:t>
            </w:r>
            <w:proofErr w:type="spellEnd"/>
            <w:r w:rsidRPr="00C52386">
              <w:rPr>
                <w:rFonts w:ascii="Calibri" w:hAnsi="Calibri" w:cs="Calibri"/>
                <w:b/>
                <w:bCs/>
                <w:color w:val="FFFFFF" w:themeColor="background1"/>
                <w:sz w:val="20"/>
                <w:szCs w:val="20"/>
                <w:lang w:val="fr-FR"/>
              </w:rPr>
              <w:t xml:space="preserve"> </w:t>
            </w:r>
            <w:proofErr w:type="spellStart"/>
            <w:r w:rsidRPr="00C52386">
              <w:rPr>
                <w:rFonts w:ascii="Calibri" w:hAnsi="Calibri" w:cs="Calibri"/>
                <w:b/>
                <w:bCs/>
                <w:color w:val="FFFFFF" w:themeColor="background1"/>
                <w:sz w:val="20"/>
                <w:szCs w:val="20"/>
                <w:lang w:val="fr-FR"/>
              </w:rPr>
              <w:t>Level</w:t>
            </w:r>
            <w:proofErr w:type="spellEnd"/>
          </w:p>
        </w:tc>
        <w:tc>
          <w:tcPr>
            <w:tcW w:w="0" w:type="auto"/>
            <w:tcBorders>
              <w:top w:val="single" w:sz="4" w:space="0" w:color="89AA5F"/>
              <w:left w:val="single" w:sz="4" w:space="0" w:color="89AA5F"/>
              <w:bottom w:val="single" w:sz="4" w:space="0" w:color="89AA5F"/>
              <w:right w:val="single" w:sz="4" w:space="0" w:color="89AA5F"/>
            </w:tcBorders>
            <w:shd w:val="clear" w:color="auto" w:fill="748A96"/>
            <w:hideMark/>
          </w:tcPr>
          <w:p w14:paraId="3F0D5A63" w14:textId="77777777" w:rsidR="00F178B8" w:rsidRPr="00C52386" w:rsidRDefault="00F178B8" w:rsidP="00C52386">
            <w:pPr>
              <w:spacing w:line="278" w:lineRule="auto"/>
              <w:rPr>
                <w:rFonts w:ascii="Calibri" w:hAnsi="Calibri" w:cs="Calibri"/>
                <w:b/>
                <w:bCs/>
                <w:color w:val="FFFFFF" w:themeColor="background1"/>
                <w:sz w:val="20"/>
                <w:szCs w:val="20"/>
                <w:lang w:val="fr-FR"/>
              </w:rPr>
            </w:pPr>
            <w:r w:rsidRPr="00C52386">
              <w:rPr>
                <w:rFonts w:ascii="Calibri" w:hAnsi="Calibri" w:cs="Calibri"/>
                <w:b/>
                <w:bCs/>
                <w:color w:val="FFFFFF" w:themeColor="background1"/>
                <w:sz w:val="20"/>
                <w:szCs w:val="20"/>
                <w:lang w:val="fr-FR"/>
              </w:rPr>
              <w:t>Frequency</w:t>
            </w:r>
          </w:p>
        </w:tc>
        <w:tc>
          <w:tcPr>
            <w:tcW w:w="0" w:type="auto"/>
            <w:tcBorders>
              <w:top w:val="single" w:sz="4" w:space="0" w:color="89AA5F"/>
              <w:left w:val="single" w:sz="4" w:space="0" w:color="89AA5F"/>
              <w:bottom w:val="single" w:sz="4" w:space="0" w:color="89AA5F"/>
              <w:right w:val="single" w:sz="4" w:space="0" w:color="89AA5F"/>
            </w:tcBorders>
            <w:shd w:val="clear" w:color="auto" w:fill="748A96"/>
            <w:hideMark/>
          </w:tcPr>
          <w:p w14:paraId="7E515909" w14:textId="77777777" w:rsidR="00F178B8" w:rsidRPr="00C52386" w:rsidRDefault="00F178B8" w:rsidP="00C52386">
            <w:pPr>
              <w:spacing w:line="278" w:lineRule="auto"/>
              <w:rPr>
                <w:rFonts w:ascii="Calibri" w:hAnsi="Calibri" w:cs="Calibri"/>
                <w:b/>
                <w:bCs/>
                <w:color w:val="FFFFFF" w:themeColor="background1"/>
                <w:sz w:val="20"/>
                <w:szCs w:val="20"/>
                <w:lang w:val="fr-FR"/>
              </w:rPr>
            </w:pPr>
            <w:r w:rsidRPr="00C52386">
              <w:rPr>
                <w:rFonts w:ascii="Calibri" w:hAnsi="Calibri" w:cs="Calibri"/>
                <w:b/>
                <w:bCs/>
                <w:color w:val="FFFFFF" w:themeColor="background1"/>
                <w:sz w:val="20"/>
                <w:szCs w:val="20"/>
                <w:lang w:val="fr-FR"/>
              </w:rPr>
              <w:t>Format</w:t>
            </w:r>
          </w:p>
        </w:tc>
        <w:tc>
          <w:tcPr>
            <w:tcW w:w="0" w:type="auto"/>
            <w:tcBorders>
              <w:top w:val="single" w:sz="4" w:space="0" w:color="89AA5F"/>
              <w:left w:val="single" w:sz="4" w:space="0" w:color="89AA5F"/>
              <w:bottom w:val="single" w:sz="4" w:space="0" w:color="89AA5F"/>
              <w:right w:val="single" w:sz="4" w:space="0" w:color="89AA5F"/>
            </w:tcBorders>
            <w:shd w:val="clear" w:color="auto" w:fill="748A96"/>
            <w:hideMark/>
          </w:tcPr>
          <w:p w14:paraId="11D19CA4" w14:textId="77777777" w:rsidR="00F178B8" w:rsidRPr="00C52386" w:rsidRDefault="00F178B8" w:rsidP="00C52386">
            <w:pPr>
              <w:spacing w:line="278" w:lineRule="auto"/>
              <w:rPr>
                <w:rFonts w:ascii="Calibri" w:hAnsi="Calibri" w:cs="Calibri"/>
                <w:b/>
                <w:bCs/>
                <w:color w:val="FFFFFF" w:themeColor="background1"/>
                <w:sz w:val="20"/>
                <w:szCs w:val="20"/>
                <w:lang w:val="fr-FR"/>
              </w:rPr>
            </w:pPr>
            <w:r w:rsidRPr="00C52386">
              <w:rPr>
                <w:rFonts w:ascii="Calibri" w:hAnsi="Calibri" w:cs="Calibri"/>
                <w:b/>
                <w:bCs/>
                <w:color w:val="FFFFFF" w:themeColor="background1"/>
                <w:sz w:val="20"/>
                <w:szCs w:val="20"/>
                <w:lang w:val="fr-FR"/>
              </w:rPr>
              <w:t>Publication Channels</w:t>
            </w:r>
          </w:p>
        </w:tc>
      </w:tr>
      <w:tr w:rsidR="00F178B8" w:rsidRPr="00271C51" w14:paraId="5F2CCC69" w14:textId="77777777" w:rsidTr="00F178B8">
        <w:tc>
          <w:tcPr>
            <w:tcW w:w="0" w:type="auto"/>
            <w:tcBorders>
              <w:top w:val="single" w:sz="4" w:space="0" w:color="89AA5F"/>
              <w:left w:val="single" w:sz="4" w:space="0" w:color="89AA5F"/>
              <w:bottom w:val="single" w:sz="4" w:space="0" w:color="89AA5F"/>
              <w:right w:val="single" w:sz="4" w:space="0" w:color="89AA5F"/>
            </w:tcBorders>
            <w:hideMark/>
          </w:tcPr>
          <w:p w14:paraId="56A30598" w14:textId="77777777" w:rsidR="00F178B8" w:rsidRPr="00C52386" w:rsidRDefault="00F178B8" w:rsidP="00F178B8">
            <w:pPr>
              <w:spacing w:after="160" w:line="278" w:lineRule="auto"/>
              <w:rPr>
                <w:rFonts w:ascii="Calibri" w:hAnsi="Calibri" w:cs="Calibri"/>
                <w:sz w:val="20"/>
                <w:szCs w:val="20"/>
                <w:lang w:val="fr-FR"/>
              </w:rPr>
            </w:pPr>
            <w:r w:rsidRPr="00C52386">
              <w:rPr>
                <w:rFonts w:ascii="Calibri" w:hAnsi="Calibri" w:cs="Calibri"/>
                <w:b/>
                <w:bCs/>
                <w:sz w:val="20"/>
                <w:szCs w:val="20"/>
                <w:lang w:val="fr-FR"/>
              </w:rPr>
              <w:t xml:space="preserve">Legal and </w:t>
            </w:r>
            <w:proofErr w:type="spellStart"/>
            <w:r w:rsidRPr="00C52386">
              <w:rPr>
                <w:rFonts w:ascii="Calibri" w:hAnsi="Calibri" w:cs="Calibri"/>
                <w:b/>
                <w:bCs/>
                <w:sz w:val="20"/>
                <w:szCs w:val="20"/>
                <w:lang w:val="fr-FR"/>
              </w:rPr>
              <w:t>Regulatory</w:t>
            </w:r>
            <w:proofErr w:type="spellEnd"/>
            <w:r w:rsidRPr="00C52386">
              <w:rPr>
                <w:rFonts w:ascii="Calibri" w:hAnsi="Calibri" w:cs="Calibri"/>
                <w:b/>
                <w:bCs/>
                <w:sz w:val="20"/>
                <w:szCs w:val="20"/>
                <w:lang w:val="fr-FR"/>
              </w:rPr>
              <w:t xml:space="preserve"> Framework</w:t>
            </w:r>
          </w:p>
        </w:tc>
        <w:tc>
          <w:tcPr>
            <w:tcW w:w="0" w:type="auto"/>
            <w:tcBorders>
              <w:top w:val="single" w:sz="4" w:space="0" w:color="89AA5F"/>
              <w:left w:val="single" w:sz="4" w:space="0" w:color="89AA5F"/>
              <w:bottom w:val="single" w:sz="4" w:space="0" w:color="89AA5F"/>
              <w:right w:val="single" w:sz="4" w:space="0" w:color="89AA5F"/>
            </w:tcBorders>
            <w:hideMark/>
          </w:tcPr>
          <w:p w14:paraId="471A84DD" w14:textId="77777777" w:rsidR="00F178B8" w:rsidRPr="00C52386" w:rsidRDefault="00F178B8" w:rsidP="00C52386">
            <w:pPr>
              <w:spacing w:before="40" w:after="40"/>
              <w:rPr>
                <w:rFonts w:ascii="Calibri" w:hAnsi="Calibri" w:cs="Calibri"/>
                <w:sz w:val="20"/>
                <w:szCs w:val="20"/>
              </w:rPr>
            </w:pPr>
            <w:r w:rsidRPr="00C52386">
              <w:rPr>
                <w:rFonts w:ascii="Calibri" w:hAnsi="Calibri" w:cs="Calibri"/>
                <w:sz w:val="20"/>
                <w:szCs w:val="20"/>
              </w:rPr>
              <w:t>All laws, regulations, and fiscal regimes governing extractives, including legal reforms.</w:t>
            </w:r>
          </w:p>
        </w:tc>
        <w:tc>
          <w:tcPr>
            <w:tcW w:w="0" w:type="auto"/>
            <w:tcBorders>
              <w:top w:val="single" w:sz="4" w:space="0" w:color="89AA5F"/>
              <w:left w:val="single" w:sz="4" w:space="0" w:color="89AA5F"/>
              <w:bottom w:val="single" w:sz="4" w:space="0" w:color="89AA5F"/>
              <w:right w:val="single" w:sz="4" w:space="0" w:color="89AA5F"/>
            </w:tcBorders>
            <w:hideMark/>
          </w:tcPr>
          <w:p w14:paraId="5F67FAA9" w14:textId="77777777" w:rsidR="00F178B8" w:rsidRPr="00C52386" w:rsidRDefault="00F178B8" w:rsidP="00C52386">
            <w:pPr>
              <w:spacing w:before="40" w:after="40"/>
              <w:rPr>
                <w:rFonts w:ascii="Calibri" w:hAnsi="Calibri" w:cs="Calibri"/>
                <w:sz w:val="20"/>
                <w:szCs w:val="20"/>
              </w:rPr>
            </w:pPr>
            <w:r w:rsidRPr="00C52386">
              <w:rPr>
                <w:rFonts w:ascii="Calibri" w:hAnsi="Calibri" w:cs="Calibri"/>
                <w:sz w:val="20"/>
                <w:szCs w:val="20"/>
              </w:rPr>
              <w:t>Ministry of Oil, Ministry of Industry and Minerals, Ministry of Natural Resources (KRG), EITI Iraq MSG</w:t>
            </w:r>
          </w:p>
        </w:tc>
        <w:tc>
          <w:tcPr>
            <w:tcW w:w="0" w:type="auto"/>
            <w:tcBorders>
              <w:top w:val="single" w:sz="4" w:space="0" w:color="89AA5F"/>
              <w:left w:val="single" w:sz="4" w:space="0" w:color="89AA5F"/>
              <w:bottom w:val="single" w:sz="4" w:space="0" w:color="89AA5F"/>
              <w:right w:val="single" w:sz="4" w:space="0" w:color="89AA5F"/>
            </w:tcBorders>
            <w:hideMark/>
          </w:tcPr>
          <w:p w14:paraId="33080035" w14:textId="77777777" w:rsidR="00F178B8" w:rsidRPr="00C52386" w:rsidRDefault="00F178B8" w:rsidP="00C52386">
            <w:pPr>
              <w:spacing w:before="40" w:after="40"/>
              <w:rPr>
                <w:rFonts w:ascii="Calibri" w:hAnsi="Calibri" w:cs="Calibri"/>
                <w:sz w:val="20"/>
                <w:szCs w:val="20"/>
              </w:rPr>
            </w:pPr>
            <w:r w:rsidRPr="00C52386">
              <w:rPr>
                <w:rFonts w:ascii="Calibri" w:hAnsi="Calibri" w:cs="Calibri"/>
                <w:sz w:val="20"/>
                <w:szCs w:val="20"/>
              </w:rPr>
              <w:t>National and KRG levels</w:t>
            </w:r>
          </w:p>
        </w:tc>
        <w:tc>
          <w:tcPr>
            <w:tcW w:w="0" w:type="auto"/>
            <w:tcBorders>
              <w:top w:val="single" w:sz="4" w:space="0" w:color="89AA5F"/>
              <w:left w:val="single" w:sz="4" w:space="0" w:color="89AA5F"/>
              <w:bottom w:val="single" w:sz="4" w:space="0" w:color="89AA5F"/>
              <w:right w:val="single" w:sz="4" w:space="0" w:color="89AA5F"/>
            </w:tcBorders>
            <w:hideMark/>
          </w:tcPr>
          <w:p w14:paraId="54FCD0C9" w14:textId="77777777" w:rsidR="00F178B8" w:rsidRPr="00C52386" w:rsidRDefault="00F178B8" w:rsidP="00C52386">
            <w:pPr>
              <w:spacing w:before="40" w:after="40"/>
              <w:rPr>
                <w:rFonts w:ascii="Calibri" w:hAnsi="Calibri" w:cs="Calibri"/>
                <w:sz w:val="20"/>
                <w:szCs w:val="20"/>
              </w:rPr>
            </w:pPr>
            <w:r w:rsidRPr="00C52386">
              <w:rPr>
                <w:rFonts w:ascii="Calibri" w:hAnsi="Calibri" w:cs="Calibri"/>
                <w:sz w:val="20"/>
                <w:szCs w:val="20"/>
              </w:rPr>
              <w:t>Annually &amp; Upon Update</w:t>
            </w:r>
          </w:p>
        </w:tc>
        <w:tc>
          <w:tcPr>
            <w:tcW w:w="0" w:type="auto"/>
            <w:tcBorders>
              <w:top w:val="single" w:sz="4" w:space="0" w:color="89AA5F"/>
              <w:left w:val="single" w:sz="4" w:space="0" w:color="89AA5F"/>
              <w:bottom w:val="single" w:sz="4" w:space="0" w:color="89AA5F"/>
              <w:right w:val="single" w:sz="4" w:space="0" w:color="89AA5F"/>
            </w:tcBorders>
            <w:hideMark/>
          </w:tcPr>
          <w:p w14:paraId="01E29F91" w14:textId="77777777" w:rsidR="00F178B8" w:rsidRPr="00C52386" w:rsidRDefault="00F178B8" w:rsidP="00C52386">
            <w:pPr>
              <w:spacing w:before="40" w:after="40"/>
              <w:rPr>
                <w:rFonts w:ascii="Calibri" w:hAnsi="Calibri" w:cs="Calibri"/>
                <w:sz w:val="20"/>
                <w:szCs w:val="20"/>
              </w:rPr>
            </w:pPr>
            <w:r w:rsidRPr="00C52386">
              <w:rPr>
                <w:rFonts w:ascii="Calibri" w:hAnsi="Calibri" w:cs="Calibri"/>
                <w:sz w:val="20"/>
                <w:szCs w:val="20"/>
              </w:rPr>
              <w:t>HTML, CSV (PDF for legal texts only)</w:t>
            </w:r>
          </w:p>
        </w:tc>
        <w:tc>
          <w:tcPr>
            <w:tcW w:w="0" w:type="auto"/>
            <w:tcBorders>
              <w:top w:val="single" w:sz="4" w:space="0" w:color="89AA5F"/>
              <w:left w:val="single" w:sz="4" w:space="0" w:color="89AA5F"/>
              <w:bottom w:val="single" w:sz="4" w:space="0" w:color="89AA5F"/>
              <w:right w:val="single" w:sz="4" w:space="0" w:color="89AA5F"/>
            </w:tcBorders>
            <w:hideMark/>
          </w:tcPr>
          <w:p w14:paraId="6E102A68" w14:textId="326A543C" w:rsidR="00F178B8" w:rsidRPr="00C52386" w:rsidRDefault="00F178B8" w:rsidP="00C52386">
            <w:pPr>
              <w:spacing w:before="40" w:after="40"/>
              <w:rPr>
                <w:rFonts w:ascii="Calibri" w:hAnsi="Calibri" w:cs="Calibri"/>
                <w:sz w:val="20"/>
                <w:szCs w:val="20"/>
              </w:rPr>
            </w:pPr>
            <w:r w:rsidRPr="00C52386">
              <w:rPr>
                <w:rFonts w:ascii="Calibri" w:hAnsi="Calibri" w:cs="Calibri"/>
                <w:sz w:val="20"/>
                <w:szCs w:val="20"/>
              </w:rPr>
              <w:t xml:space="preserve">Ministry websites, </w:t>
            </w:r>
            <w:r w:rsidR="0029544A">
              <w:rPr>
                <w:rFonts w:ascii="Calibri" w:eastAsia="Times New Roman" w:hAnsi="Calibri" w:cs="Calibri"/>
                <w:color w:val="0D0D0D"/>
                <w:kern w:val="0"/>
                <w:sz w:val="20"/>
                <w:szCs w:val="20"/>
                <w:lang w:eastAsia="fr-FR"/>
                <w14:ligatures w14:val="none"/>
              </w:rPr>
              <w:t>NRTC</w:t>
            </w:r>
            <w:r w:rsidRPr="00C52386">
              <w:rPr>
                <w:rFonts w:ascii="Calibri" w:hAnsi="Calibri" w:cs="Calibri"/>
                <w:sz w:val="20"/>
                <w:szCs w:val="20"/>
              </w:rPr>
              <w:t xml:space="preserve"> Iraq portal</w:t>
            </w:r>
          </w:p>
        </w:tc>
      </w:tr>
      <w:tr w:rsidR="00F178B8" w:rsidRPr="00271C51" w14:paraId="42FCE84F" w14:textId="77777777" w:rsidTr="00F178B8">
        <w:tc>
          <w:tcPr>
            <w:tcW w:w="0" w:type="auto"/>
            <w:tcBorders>
              <w:top w:val="single" w:sz="4" w:space="0" w:color="89AA5F"/>
              <w:left w:val="single" w:sz="4" w:space="0" w:color="89AA5F"/>
              <w:bottom w:val="single" w:sz="4" w:space="0" w:color="89AA5F"/>
              <w:right w:val="single" w:sz="4" w:space="0" w:color="89AA5F"/>
            </w:tcBorders>
            <w:hideMark/>
          </w:tcPr>
          <w:p w14:paraId="54AACF5B" w14:textId="77777777" w:rsidR="00F178B8" w:rsidRPr="00C52386" w:rsidRDefault="00F178B8" w:rsidP="00F178B8">
            <w:pPr>
              <w:spacing w:after="160" w:line="278" w:lineRule="auto"/>
              <w:rPr>
                <w:rFonts w:ascii="Calibri" w:hAnsi="Calibri" w:cs="Calibri"/>
                <w:sz w:val="20"/>
                <w:szCs w:val="20"/>
              </w:rPr>
            </w:pPr>
            <w:r w:rsidRPr="00C52386">
              <w:rPr>
                <w:rFonts w:ascii="Calibri" w:hAnsi="Calibri" w:cs="Calibri"/>
                <w:b/>
                <w:bCs/>
                <w:sz w:val="20"/>
                <w:szCs w:val="20"/>
              </w:rPr>
              <w:t>Roles and Responsibilities of Government Entities</w:t>
            </w:r>
          </w:p>
        </w:tc>
        <w:tc>
          <w:tcPr>
            <w:tcW w:w="0" w:type="auto"/>
            <w:tcBorders>
              <w:top w:val="single" w:sz="4" w:space="0" w:color="89AA5F"/>
              <w:left w:val="single" w:sz="4" w:space="0" w:color="89AA5F"/>
              <w:bottom w:val="single" w:sz="4" w:space="0" w:color="89AA5F"/>
              <w:right w:val="single" w:sz="4" w:space="0" w:color="89AA5F"/>
            </w:tcBorders>
            <w:hideMark/>
          </w:tcPr>
          <w:p w14:paraId="37E1AF86" w14:textId="77777777" w:rsidR="00F178B8" w:rsidRPr="00C52386" w:rsidRDefault="00F178B8" w:rsidP="00F178B8">
            <w:pPr>
              <w:spacing w:after="160" w:line="278" w:lineRule="auto"/>
              <w:rPr>
                <w:rFonts w:ascii="Calibri" w:hAnsi="Calibri" w:cs="Calibri"/>
                <w:sz w:val="20"/>
                <w:szCs w:val="20"/>
              </w:rPr>
            </w:pPr>
            <w:r w:rsidRPr="00C52386">
              <w:rPr>
                <w:rFonts w:ascii="Calibri" w:hAnsi="Calibri" w:cs="Calibri"/>
                <w:sz w:val="20"/>
                <w:szCs w:val="20"/>
              </w:rPr>
              <w:t>Description of mandates and responsibilities of institutions involved in the governance and oversight of the extractive sector, including fiscal and regulatory functions.</w:t>
            </w:r>
          </w:p>
        </w:tc>
        <w:tc>
          <w:tcPr>
            <w:tcW w:w="0" w:type="auto"/>
            <w:tcBorders>
              <w:top w:val="single" w:sz="4" w:space="0" w:color="89AA5F"/>
              <w:left w:val="single" w:sz="4" w:space="0" w:color="89AA5F"/>
              <w:bottom w:val="single" w:sz="4" w:space="0" w:color="89AA5F"/>
              <w:right w:val="single" w:sz="4" w:space="0" w:color="89AA5F"/>
            </w:tcBorders>
            <w:hideMark/>
          </w:tcPr>
          <w:p w14:paraId="68177CDF" w14:textId="77777777" w:rsidR="00F178B8" w:rsidRPr="00C52386" w:rsidRDefault="00F178B8" w:rsidP="00F178B8">
            <w:pPr>
              <w:spacing w:after="160" w:line="278" w:lineRule="auto"/>
              <w:rPr>
                <w:rFonts w:ascii="Calibri" w:hAnsi="Calibri" w:cs="Calibri"/>
                <w:sz w:val="20"/>
                <w:szCs w:val="20"/>
              </w:rPr>
            </w:pPr>
            <w:proofErr w:type="spellStart"/>
            <w:r w:rsidRPr="00C52386">
              <w:rPr>
                <w:rFonts w:ascii="Calibri" w:hAnsi="Calibri" w:cs="Calibri"/>
                <w:sz w:val="20"/>
                <w:szCs w:val="20"/>
              </w:rPr>
              <w:t>MoO</w:t>
            </w:r>
            <w:proofErr w:type="spellEnd"/>
            <w:r w:rsidRPr="00C52386">
              <w:rPr>
                <w:rFonts w:ascii="Calibri" w:hAnsi="Calibri" w:cs="Calibri"/>
                <w:sz w:val="20"/>
                <w:szCs w:val="20"/>
              </w:rPr>
              <w:t xml:space="preserve">, MoF, </w:t>
            </w:r>
            <w:proofErr w:type="spellStart"/>
            <w:r w:rsidRPr="00C52386">
              <w:rPr>
                <w:rFonts w:ascii="Calibri" w:hAnsi="Calibri" w:cs="Calibri"/>
                <w:sz w:val="20"/>
                <w:szCs w:val="20"/>
              </w:rPr>
              <w:t>MoIM</w:t>
            </w:r>
            <w:proofErr w:type="spellEnd"/>
            <w:r w:rsidRPr="00C52386">
              <w:rPr>
                <w:rFonts w:ascii="Calibri" w:hAnsi="Calibri" w:cs="Calibri"/>
                <w:sz w:val="20"/>
                <w:szCs w:val="20"/>
              </w:rPr>
              <w:t>, KRG entities, Commission of Integrity, EITI MSG</w:t>
            </w:r>
          </w:p>
        </w:tc>
        <w:tc>
          <w:tcPr>
            <w:tcW w:w="0" w:type="auto"/>
            <w:tcBorders>
              <w:top w:val="single" w:sz="4" w:space="0" w:color="89AA5F"/>
              <w:left w:val="single" w:sz="4" w:space="0" w:color="89AA5F"/>
              <w:bottom w:val="single" w:sz="4" w:space="0" w:color="89AA5F"/>
              <w:right w:val="single" w:sz="4" w:space="0" w:color="89AA5F"/>
            </w:tcBorders>
            <w:hideMark/>
          </w:tcPr>
          <w:p w14:paraId="681E6501" w14:textId="77777777" w:rsidR="00F178B8" w:rsidRPr="00C52386" w:rsidRDefault="00F178B8" w:rsidP="00F178B8">
            <w:pPr>
              <w:spacing w:after="160" w:line="278" w:lineRule="auto"/>
              <w:rPr>
                <w:rFonts w:ascii="Calibri" w:hAnsi="Calibri" w:cs="Calibri"/>
                <w:sz w:val="20"/>
                <w:szCs w:val="20"/>
                <w:lang w:val="fr-FR"/>
              </w:rPr>
            </w:pPr>
            <w:proofErr w:type="spellStart"/>
            <w:r w:rsidRPr="00C52386">
              <w:rPr>
                <w:rFonts w:ascii="Calibri" w:hAnsi="Calibri" w:cs="Calibri"/>
                <w:sz w:val="20"/>
                <w:szCs w:val="20"/>
                <w:lang w:val="fr-FR"/>
              </w:rPr>
              <w:t>Institutional</w:t>
            </w:r>
            <w:proofErr w:type="spellEnd"/>
            <w:r w:rsidRPr="00C52386">
              <w:rPr>
                <w:rFonts w:ascii="Calibri" w:hAnsi="Calibri" w:cs="Calibri"/>
                <w:sz w:val="20"/>
                <w:szCs w:val="20"/>
                <w:lang w:val="fr-FR"/>
              </w:rPr>
              <w:t xml:space="preserve"> </w:t>
            </w:r>
            <w:proofErr w:type="spellStart"/>
            <w:r w:rsidRPr="00C52386">
              <w:rPr>
                <w:rFonts w:ascii="Calibri" w:hAnsi="Calibri" w:cs="Calibri"/>
                <w:sz w:val="20"/>
                <w:szCs w:val="20"/>
                <w:lang w:val="fr-FR"/>
              </w:rPr>
              <w:t>level</w:t>
            </w:r>
            <w:proofErr w:type="spellEnd"/>
          </w:p>
        </w:tc>
        <w:tc>
          <w:tcPr>
            <w:tcW w:w="0" w:type="auto"/>
            <w:tcBorders>
              <w:top w:val="single" w:sz="4" w:space="0" w:color="89AA5F"/>
              <w:left w:val="single" w:sz="4" w:space="0" w:color="89AA5F"/>
              <w:bottom w:val="single" w:sz="4" w:space="0" w:color="89AA5F"/>
              <w:right w:val="single" w:sz="4" w:space="0" w:color="89AA5F"/>
            </w:tcBorders>
            <w:hideMark/>
          </w:tcPr>
          <w:p w14:paraId="7115CA13" w14:textId="77777777" w:rsidR="00F178B8" w:rsidRPr="00C52386" w:rsidRDefault="00F178B8" w:rsidP="00F178B8">
            <w:pPr>
              <w:spacing w:after="160" w:line="278" w:lineRule="auto"/>
              <w:rPr>
                <w:rFonts w:ascii="Calibri" w:hAnsi="Calibri" w:cs="Calibri"/>
                <w:sz w:val="20"/>
                <w:szCs w:val="20"/>
                <w:lang w:val="fr-FR"/>
              </w:rPr>
            </w:pPr>
            <w:proofErr w:type="spellStart"/>
            <w:r w:rsidRPr="00C52386">
              <w:rPr>
                <w:rFonts w:ascii="Calibri" w:hAnsi="Calibri" w:cs="Calibri"/>
                <w:sz w:val="20"/>
                <w:szCs w:val="20"/>
                <w:lang w:val="fr-FR"/>
              </w:rPr>
              <w:t>Annually</w:t>
            </w:r>
            <w:proofErr w:type="spellEnd"/>
            <w:r w:rsidRPr="00C52386">
              <w:rPr>
                <w:rFonts w:ascii="Calibri" w:hAnsi="Calibri" w:cs="Calibri"/>
                <w:sz w:val="20"/>
                <w:szCs w:val="20"/>
                <w:lang w:val="fr-FR"/>
              </w:rPr>
              <w:t xml:space="preserve"> &amp; </w:t>
            </w:r>
            <w:proofErr w:type="spellStart"/>
            <w:r w:rsidRPr="00C52386">
              <w:rPr>
                <w:rFonts w:ascii="Calibri" w:hAnsi="Calibri" w:cs="Calibri"/>
                <w:sz w:val="20"/>
                <w:szCs w:val="20"/>
                <w:lang w:val="fr-FR"/>
              </w:rPr>
              <w:t>Upon</w:t>
            </w:r>
            <w:proofErr w:type="spellEnd"/>
            <w:r w:rsidRPr="00C52386">
              <w:rPr>
                <w:rFonts w:ascii="Calibri" w:hAnsi="Calibri" w:cs="Calibri"/>
                <w:sz w:val="20"/>
                <w:szCs w:val="20"/>
                <w:lang w:val="fr-FR"/>
              </w:rPr>
              <w:t xml:space="preserve"> Update</w:t>
            </w:r>
          </w:p>
        </w:tc>
        <w:tc>
          <w:tcPr>
            <w:tcW w:w="0" w:type="auto"/>
            <w:tcBorders>
              <w:top w:val="single" w:sz="4" w:space="0" w:color="89AA5F"/>
              <w:left w:val="single" w:sz="4" w:space="0" w:color="89AA5F"/>
              <w:bottom w:val="single" w:sz="4" w:space="0" w:color="89AA5F"/>
              <w:right w:val="single" w:sz="4" w:space="0" w:color="89AA5F"/>
            </w:tcBorders>
            <w:hideMark/>
          </w:tcPr>
          <w:p w14:paraId="6BF63EA0" w14:textId="77777777" w:rsidR="00F178B8" w:rsidRPr="00C52386" w:rsidRDefault="00F178B8" w:rsidP="00F178B8">
            <w:pPr>
              <w:spacing w:after="160" w:line="278" w:lineRule="auto"/>
              <w:rPr>
                <w:rFonts w:ascii="Calibri" w:hAnsi="Calibri" w:cs="Calibri"/>
                <w:sz w:val="20"/>
                <w:szCs w:val="20"/>
                <w:lang w:val="fr-FR"/>
              </w:rPr>
            </w:pPr>
            <w:r w:rsidRPr="00C52386">
              <w:rPr>
                <w:rFonts w:ascii="Calibri" w:hAnsi="Calibri" w:cs="Calibri"/>
                <w:sz w:val="20"/>
                <w:szCs w:val="20"/>
                <w:lang w:val="fr-FR"/>
              </w:rPr>
              <w:t>HTML, CSV</w:t>
            </w:r>
          </w:p>
        </w:tc>
        <w:tc>
          <w:tcPr>
            <w:tcW w:w="0" w:type="auto"/>
            <w:tcBorders>
              <w:top w:val="single" w:sz="4" w:space="0" w:color="89AA5F"/>
              <w:left w:val="single" w:sz="4" w:space="0" w:color="89AA5F"/>
              <w:bottom w:val="single" w:sz="4" w:space="0" w:color="89AA5F"/>
              <w:right w:val="single" w:sz="4" w:space="0" w:color="89AA5F"/>
            </w:tcBorders>
            <w:hideMark/>
          </w:tcPr>
          <w:p w14:paraId="60CD668D" w14:textId="71D1AA22" w:rsidR="00F178B8" w:rsidRPr="00C52386" w:rsidRDefault="0029544A" w:rsidP="00F178B8">
            <w:pPr>
              <w:spacing w:after="160" w:line="278" w:lineRule="auto"/>
              <w:rPr>
                <w:rFonts w:ascii="Calibri" w:hAnsi="Calibri" w:cs="Calibri"/>
                <w:sz w:val="20"/>
                <w:szCs w:val="20"/>
                <w:lang w:val="fr-FR"/>
              </w:rPr>
            </w:pPr>
            <w:r>
              <w:rPr>
                <w:rFonts w:ascii="Calibri" w:eastAsia="Times New Roman" w:hAnsi="Calibri" w:cs="Calibri"/>
                <w:color w:val="0D0D0D"/>
                <w:kern w:val="0"/>
                <w:sz w:val="20"/>
                <w:szCs w:val="20"/>
                <w:lang w:eastAsia="fr-FR"/>
                <w14:ligatures w14:val="none"/>
              </w:rPr>
              <w:t>NRTC</w:t>
            </w:r>
            <w:r w:rsidR="00F178B8" w:rsidRPr="00C52386">
              <w:rPr>
                <w:rFonts w:ascii="Calibri" w:hAnsi="Calibri" w:cs="Calibri"/>
                <w:sz w:val="20"/>
                <w:szCs w:val="20"/>
                <w:lang w:val="fr-FR"/>
              </w:rPr>
              <w:t xml:space="preserve"> Iraq portal, relevant </w:t>
            </w:r>
            <w:proofErr w:type="spellStart"/>
            <w:r w:rsidR="00F178B8" w:rsidRPr="00C52386">
              <w:rPr>
                <w:rFonts w:ascii="Calibri" w:hAnsi="Calibri" w:cs="Calibri"/>
                <w:sz w:val="20"/>
                <w:szCs w:val="20"/>
                <w:lang w:val="fr-FR"/>
              </w:rPr>
              <w:t>entity</w:t>
            </w:r>
            <w:proofErr w:type="spellEnd"/>
            <w:r w:rsidR="00F178B8" w:rsidRPr="00C52386">
              <w:rPr>
                <w:rFonts w:ascii="Calibri" w:hAnsi="Calibri" w:cs="Calibri"/>
                <w:sz w:val="20"/>
                <w:szCs w:val="20"/>
                <w:lang w:val="fr-FR"/>
              </w:rPr>
              <w:t xml:space="preserve"> </w:t>
            </w:r>
            <w:proofErr w:type="spellStart"/>
            <w:r w:rsidR="00F178B8" w:rsidRPr="00C52386">
              <w:rPr>
                <w:rFonts w:ascii="Calibri" w:hAnsi="Calibri" w:cs="Calibri"/>
                <w:sz w:val="20"/>
                <w:szCs w:val="20"/>
                <w:lang w:val="fr-FR"/>
              </w:rPr>
              <w:t>websites</w:t>
            </w:r>
            <w:proofErr w:type="spellEnd"/>
          </w:p>
        </w:tc>
      </w:tr>
      <w:tr w:rsidR="00F178B8" w:rsidRPr="00271C51" w14:paraId="758F6F5B" w14:textId="77777777" w:rsidTr="00F178B8">
        <w:tc>
          <w:tcPr>
            <w:tcW w:w="0" w:type="auto"/>
            <w:tcBorders>
              <w:top w:val="single" w:sz="4" w:space="0" w:color="89AA5F"/>
              <w:left w:val="single" w:sz="4" w:space="0" w:color="89AA5F"/>
              <w:bottom w:val="single" w:sz="4" w:space="0" w:color="89AA5F"/>
              <w:right w:val="single" w:sz="4" w:space="0" w:color="89AA5F"/>
            </w:tcBorders>
            <w:hideMark/>
          </w:tcPr>
          <w:p w14:paraId="7B690160" w14:textId="77777777" w:rsidR="00F178B8" w:rsidRPr="00C52386" w:rsidRDefault="00F178B8" w:rsidP="00F178B8">
            <w:pPr>
              <w:spacing w:after="160" w:line="278" w:lineRule="auto"/>
              <w:rPr>
                <w:rFonts w:ascii="Calibri" w:hAnsi="Calibri" w:cs="Calibri"/>
                <w:sz w:val="20"/>
                <w:szCs w:val="20"/>
              </w:rPr>
            </w:pPr>
            <w:r w:rsidRPr="00C52386">
              <w:rPr>
                <w:rFonts w:ascii="Calibri" w:hAnsi="Calibri" w:cs="Calibri"/>
                <w:b/>
                <w:bCs/>
                <w:sz w:val="20"/>
                <w:szCs w:val="20"/>
              </w:rPr>
              <w:t>Types of Extractive Contracts and Licenses</w:t>
            </w:r>
          </w:p>
        </w:tc>
        <w:tc>
          <w:tcPr>
            <w:tcW w:w="0" w:type="auto"/>
            <w:tcBorders>
              <w:top w:val="single" w:sz="4" w:space="0" w:color="89AA5F"/>
              <w:left w:val="single" w:sz="4" w:space="0" w:color="89AA5F"/>
              <w:bottom w:val="single" w:sz="4" w:space="0" w:color="89AA5F"/>
              <w:right w:val="single" w:sz="4" w:space="0" w:color="89AA5F"/>
            </w:tcBorders>
            <w:hideMark/>
          </w:tcPr>
          <w:p w14:paraId="0666C88C" w14:textId="77777777" w:rsidR="00F178B8" w:rsidRPr="00C52386" w:rsidRDefault="00F178B8" w:rsidP="00F178B8">
            <w:pPr>
              <w:spacing w:after="160" w:line="278" w:lineRule="auto"/>
              <w:rPr>
                <w:rFonts w:ascii="Calibri" w:hAnsi="Calibri" w:cs="Calibri"/>
                <w:sz w:val="20"/>
                <w:szCs w:val="20"/>
              </w:rPr>
            </w:pPr>
            <w:r w:rsidRPr="00C52386">
              <w:rPr>
                <w:rFonts w:ascii="Calibri" w:hAnsi="Calibri" w:cs="Calibri"/>
                <w:sz w:val="20"/>
                <w:szCs w:val="20"/>
              </w:rPr>
              <w:t>Overview of contract and license types (e.g., service contracts, PSAs, exploration and production licenses).</w:t>
            </w:r>
          </w:p>
        </w:tc>
        <w:tc>
          <w:tcPr>
            <w:tcW w:w="0" w:type="auto"/>
            <w:tcBorders>
              <w:top w:val="single" w:sz="4" w:space="0" w:color="89AA5F"/>
              <w:left w:val="single" w:sz="4" w:space="0" w:color="89AA5F"/>
              <w:bottom w:val="single" w:sz="4" w:space="0" w:color="89AA5F"/>
              <w:right w:val="single" w:sz="4" w:space="0" w:color="89AA5F"/>
            </w:tcBorders>
            <w:hideMark/>
          </w:tcPr>
          <w:p w14:paraId="30286253" w14:textId="77777777" w:rsidR="00F178B8" w:rsidRPr="00C52386" w:rsidRDefault="00F178B8" w:rsidP="00F178B8">
            <w:pPr>
              <w:spacing w:after="160" w:line="278" w:lineRule="auto"/>
              <w:rPr>
                <w:rFonts w:ascii="Calibri" w:hAnsi="Calibri" w:cs="Calibri"/>
                <w:sz w:val="20"/>
                <w:szCs w:val="20"/>
              </w:rPr>
            </w:pPr>
            <w:r w:rsidRPr="00C52386">
              <w:rPr>
                <w:rFonts w:ascii="Calibri" w:hAnsi="Calibri" w:cs="Calibri"/>
                <w:sz w:val="20"/>
                <w:szCs w:val="20"/>
              </w:rPr>
              <w:t>Ministry of Oil, Ministry of Industry and Minerals, Ministry of Natural Resources (KRG)</w:t>
            </w:r>
          </w:p>
        </w:tc>
        <w:tc>
          <w:tcPr>
            <w:tcW w:w="0" w:type="auto"/>
            <w:tcBorders>
              <w:top w:val="single" w:sz="4" w:space="0" w:color="89AA5F"/>
              <w:left w:val="single" w:sz="4" w:space="0" w:color="89AA5F"/>
              <w:bottom w:val="single" w:sz="4" w:space="0" w:color="89AA5F"/>
              <w:right w:val="single" w:sz="4" w:space="0" w:color="89AA5F"/>
            </w:tcBorders>
            <w:hideMark/>
          </w:tcPr>
          <w:p w14:paraId="1850DE3A" w14:textId="77777777" w:rsidR="00F178B8" w:rsidRPr="00C52386" w:rsidRDefault="00F178B8" w:rsidP="00F178B8">
            <w:pPr>
              <w:spacing w:after="160" w:line="278" w:lineRule="auto"/>
              <w:rPr>
                <w:rFonts w:ascii="Calibri" w:hAnsi="Calibri" w:cs="Calibri"/>
                <w:sz w:val="20"/>
                <w:szCs w:val="20"/>
                <w:lang w:val="fr-FR"/>
              </w:rPr>
            </w:pPr>
            <w:r w:rsidRPr="00C52386">
              <w:rPr>
                <w:rFonts w:ascii="Calibri" w:hAnsi="Calibri" w:cs="Calibri"/>
                <w:sz w:val="20"/>
                <w:szCs w:val="20"/>
                <w:lang w:val="fr-FR"/>
              </w:rPr>
              <w:t xml:space="preserve">By </w:t>
            </w:r>
            <w:proofErr w:type="spellStart"/>
            <w:r w:rsidRPr="00C52386">
              <w:rPr>
                <w:rFonts w:ascii="Calibri" w:hAnsi="Calibri" w:cs="Calibri"/>
                <w:sz w:val="20"/>
                <w:szCs w:val="20"/>
                <w:lang w:val="fr-FR"/>
              </w:rPr>
              <w:t>contract</w:t>
            </w:r>
            <w:proofErr w:type="spellEnd"/>
            <w:r w:rsidRPr="00C52386">
              <w:rPr>
                <w:rFonts w:ascii="Calibri" w:hAnsi="Calibri" w:cs="Calibri"/>
                <w:sz w:val="20"/>
                <w:szCs w:val="20"/>
                <w:lang w:val="fr-FR"/>
              </w:rPr>
              <w:t>/</w:t>
            </w:r>
            <w:proofErr w:type="spellStart"/>
            <w:r w:rsidRPr="00C52386">
              <w:rPr>
                <w:rFonts w:ascii="Calibri" w:hAnsi="Calibri" w:cs="Calibri"/>
                <w:sz w:val="20"/>
                <w:szCs w:val="20"/>
                <w:lang w:val="fr-FR"/>
              </w:rPr>
              <w:t>license</w:t>
            </w:r>
            <w:proofErr w:type="spellEnd"/>
            <w:r w:rsidRPr="00C52386">
              <w:rPr>
                <w:rFonts w:ascii="Calibri" w:hAnsi="Calibri" w:cs="Calibri"/>
                <w:sz w:val="20"/>
                <w:szCs w:val="20"/>
                <w:lang w:val="fr-FR"/>
              </w:rPr>
              <w:t xml:space="preserve"> type</w:t>
            </w:r>
          </w:p>
        </w:tc>
        <w:tc>
          <w:tcPr>
            <w:tcW w:w="0" w:type="auto"/>
            <w:tcBorders>
              <w:top w:val="single" w:sz="4" w:space="0" w:color="89AA5F"/>
              <w:left w:val="single" w:sz="4" w:space="0" w:color="89AA5F"/>
              <w:bottom w:val="single" w:sz="4" w:space="0" w:color="89AA5F"/>
              <w:right w:val="single" w:sz="4" w:space="0" w:color="89AA5F"/>
            </w:tcBorders>
            <w:hideMark/>
          </w:tcPr>
          <w:p w14:paraId="716A02E7" w14:textId="77777777" w:rsidR="00F178B8" w:rsidRPr="00C52386" w:rsidRDefault="00F178B8" w:rsidP="00F178B8">
            <w:pPr>
              <w:spacing w:after="160" w:line="278" w:lineRule="auto"/>
              <w:rPr>
                <w:rFonts w:ascii="Calibri" w:hAnsi="Calibri" w:cs="Calibri"/>
                <w:sz w:val="20"/>
                <w:szCs w:val="20"/>
                <w:lang w:val="fr-FR"/>
              </w:rPr>
            </w:pPr>
            <w:proofErr w:type="spellStart"/>
            <w:r w:rsidRPr="00C52386">
              <w:rPr>
                <w:rFonts w:ascii="Calibri" w:hAnsi="Calibri" w:cs="Calibri"/>
                <w:sz w:val="20"/>
                <w:szCs w:val="20"/>
                <w:lang w:val="fr-FR"/>
              </w:rPr>
              <w:t>Annually</w:t>
            </w:r>
            <w:proofErr w:type="spellEnd"/>
            <w:r w:rsidRPr="00C52386">
              <w:rPr>
                <w:rFonts w:ascii="Calibri" w:hAnsi="Calibri" w:cs="Calibri"/>
                <w:sz w:val="20"/>
                <w:szCs w:val="20"/>
                <w:lang w:val="fr-FR"/>
              </w:rPr>
              <w:t xml:space="preserve"> &amp; </w:t>
            </w:r>
            <w:proofErr w:type="spellStart"/>
            <w:r w:rsidRPr="00C52386">
              <w:rPr>
                <w:rFonts w:ascii="Calibri" w:hAnsi="Calibri" w:cs="Calibri"/>
                <w:sz w:val="20"/>
                <w:szCs w:val="20"/>
                <w:lang w:val="fr-FR"/>
              </w:rPr>
              <w:t>Upon</w:t>
            </w:r>
            <w:proofErr w:type="spellEnd"/>
            <w:r w:rsidRPr="00C52386">
              <w:rPr>
                <w:rFonts w:ascii="Calibri" w:hAnsi="Calibri" w:cs="Calibri"/>
                <w:sz w:val="20"/>
                <w:szCs w:val="20"/>
                <w:lang w:val="fr-FR"/>
              </w:rPr>
              <w:t xml:space="preserve"> Update</w:t>
            </w:r>
          </w:p>
        </w:tc>
        <w:tc>
          <w:tcPr>
            <w:tcW w:w="0" w:type="auto"/>
            <w:tcBorders>
              <w:top w:val="single" w:sz="4" w:space="0" w:color="89AA5F"/>
              <w:left w:val="single" w:sz="4" w:space="0" w:color="89AA5F"/>
              <w:bottom w:val="single" w:sz="4" w:space="0" w:color="89AA5F"/>
              <w:right w:val="single" w:sz="4" w:space="0" w:color="89AA5F"/>
            </w:tcBorders>
            <w:hideMark/>
          </w:tcPr>
          <w:p w14:paraId="0AFE3BBA" w14:textId="77777777" w:rsidR="00F178B8" w:rsidRPr="00C52386" w:rsidRDefault="00F178B8" w:rsidP="00F178B8">
            <w:pPr>
              <w:spacing w:after="160" w:line="278" w:lineRule="auto"/>
              <w:rPr>
                <w:rFonts w:ascii="Calibri" w:hAnsi="Calibri" w:cs="Calibri"/>
                <w:sz w:val="20"/>
                <w:szCs w:val="20"/>
                <w:lang w:val="fr-FR"/>
              </w:rPr>
            </w:pPr>
            <w:r w:rsidRPr="00C52386">
              <w:rPr>
                <w:rFonts w:ascii="Calibri" w:hAnsi="Calibri" w:cs="Calibri"/>
                <w:sz w:val="20"/>
                <w:szCs w:val="20"/>
                <w:lang w:val="fr-FR"/>
              </w:rPr>
              <w:t>HTML, CSV</w:t>
            </w:r>
          </w:p>
        </w:tc>
        <w:tc>
          <w:tcPr>
            <w:tcW w:w="0" w:type="auto"/>
            <w:tcBorders>
              <w:top w:val="single" w:sz="4" w:space="0" w:color="89AA5F"/>
              <w:left w:val="single" w:sz="4" w:space="0" w:color="89AA5F"/>
              <w:bottom w:val="single" w:sz="4" w:space="0" w:color="89AA5F"/>
              <w:right w:val="single" w:sz="4" w:space="0" w:color="89AA5F"/>
            </w:tcBorders>
            <w:hideMark/>
          </w:tcPr>
          <w:p w14:paraId="5645FFF2" w14:textId="1DAA73D1" w:rsidR="00F178B8" w:rsidRPr="00C52386" w:rsidRDefault="00F178B8" w:rsidP="00F178B8">
            <w:pPr>
              <w:spacing w:after="160" w:line="278" w:lineRule="auto"/>
              <w:rPr>
                <w:rFonts w:ascii="Calibri" w:hAnsi="Calibri" w:cs="Calibri"/>
                <w:sz w:val="20"/>
                <w:szCs w:val="20"/>
              </w:rPr>
            </w:pPr>
            <w:r w:rsidRPr="00C52386">
              <w:rPr>
                <w:rFonts w:ascii="Calibri" w:hAnsi="Calibri" w:cs="Calibri"/>
                <w:sz w:val="20"/>
                <w:szCs w:val="20"/>
              </w:rPr>
              <w:t xml:space="preserve">Ministry websites, </w:t>
            </w:r>
            <w:r w:rsidR="0029544A">
              <w:rPr>
                <w:rFonts w:ascii="Calibri" w:eastAsia="Times New Roman" w:hAnsi="Calibri" w:cs="Calibri"/>
                <w:color w:val="0D0D0D"/>
                <w:kern w:val="0"/>
                <w:sz w:val="20"/>
                <w:szCs w:val="20"/>
                <w:lang w:eastAsia="fr-FR"/>
                <w14:ligatures w14:val="none"/>
              </w:rPr>
              <w:t>NRTC</w:t>
            </w:r>
            <w:r w:rsidRPr="00C52386">
              <w:rPr>
                <w:rFonts w:ascii="Calibri" w:hAnsi="Calibri" w:cs="Calibri"/>
                <w:sz w:val="20"/>
                <w:szCs w:val="20"/>
              </w:rPr>
              <w:t xml:space="preserve"> Iraq portal</w:t>
            </w:r>
          </w:p>
        </w:tc>
      </w:tr>
      <w:tr w:rsidR="00F178B8" w:rsidRPr="00271C51" w14:paraId="55BB5E33" w14:textId="77777777" w:rsidTr="00F178B8">
        <w:tc>
          <w:tcPr>
            <w:tcW w:w="0" w:type="auto"/>
            <w:tcBorders>
              <w:top w:val="single" w:sz="4" w:space="0" w:color="89AA5F"/>
              <w:left w:val="single" w:sz="4" w:space="0" w:color="89AA5F"/>
              <w:bottom w:val="single" w:sz="4" w:space="0" w:color="89AA5F"/>
              <w:right w:val="single" w:sz="4" w:space="0" w:color="89AA5F"/>
            </w:tcBorders>
            <w:hideMark/>
          </w:tcPr>
          <w:p w14:paraId="1AAFE029" w14:textId="77777777" w:rsidR="00F178B8" w:rsidRPr="00C52386" w:rsidRDefault="00F178B8" w:rsidP="00F178B8">
            <w:pPr>
              <w:spacing w:after="160" w:line="278" w:lineRule="auto"/>
              <w:rPr>
                <w:rFonts w:ascii="Calibri" w:hAnsi="Calibri" w:cs="Calibri"/>
                <w:sz w:val="20"/>
                <w:szCs w:val="20"/>
              </w:rPr>
            </w:pPr>
            <w:r w:rsidRPr="00C52386">
              <w:rPr>
                <w:rFonts w:ascii="Calibri" w:hAnsi="Calibri" w:cs="Calibri"/>
                <w:b/>
                <w:bCs/>
                <w:sz w:val="20"/>
                <w:szCs w:val="20"/>
              </w:rPr>
              <w:t>Fiscal Terms of Oil, Gas and Minerals Contracts</w:t>
            </w:r>
          </w:p>
        </w:tc>
        <w:tc>
          <w:tcPr>
            <w:tcW w:w="0" w:type="auto"/>
            <w:tcBorders>
              <w:top w:val="single" w:sz="4" w:space="0" w:color="89AA5F"/>
              <w:left w:val="single" w:sz="4" w:space="0" w:color="89AA5F"/>
              <w:bottom w:val="single" w:sz="4" w:space="0" w:color="89AA5F"/>
              <w:right w:val="single" w:sz="4" w:space="0" w:color="89AA5F"/>
            </w:tcBorders>
            <w:hideMark/>
          </w:tcPr>
          <w:p w14:paraId="68374029" w14:textId="77777777" w:rsidR="00F178B8" w:rsidRPr="00C52386" w:rsidRDefault="00F178B8" w:rsidP="00F178B8">
            <w:pPr>
              <w:spacing w:after="160" w:line="278" w:lineRule="auto"/>
              <w:rPr>
                <w:rFonts w:ascii="Calibri" w:hAnsi="Calibri" w:cs="Calibri"/>
                <w:sz w:val="20"/>
                <w:szCs w:val="20"/>
              </w:rPr>
            </w:pPr>
            <w:r w:rsidRPr="00C52386">
              <w:rPr>
                <w:rFonts w:ascii="Calibri" w:hAnsi="Calibri" w:cs="Calibri"/>
                <w:sz w:val="20"/>
                <w:szCs w:val="20"/>
              </w:rPr>
              <w:t>Summary of key fiscal provisions (remuneration, cost recovery, production plateaus, state share, taxation).</w:t>
            </w:r>
          </w:p>
        </w:tc>
        <w:tc>
          <w:tcPr>
            <w:tcW w:w="0" w:type="auto"/>
            <w:tcBorders>
              <w:top w:val="single" w:sz="4" w:space="0" w:color="89AA5F"/>
              <w:left w:val="single" w:sz="4" w:space="0" w:color="89AA5F"/>
              <w:bottom w:val="single" w:sz="4" w:space="0" w:color="89AA5F"/>
              <w:right w:val="single" w:sz="4" w:space="0" w:color="89AA5F"/>
            </w:tcBorders>
            <w:hideMark/>
          </w:tcPr>
          <w:p w14:paraId="2AA558BC" w14:textId="77777777" w:rsidR="00F178B8" w:rsidRPr="00C52386" w:rsidRDefault="00F178B8" w:rsidP="00F178B8">
            <w:pPr>
              <w:spacing w:after="160" w:line="278" w:lineRule="auto"/>
              <w:rPr>
                <w:rFonts w:ascii="Calibri" w:hAnsi="Calibri" w:cs="Calibri"/>
                <w:sz w:val="20"/>
                <w:szCs w:val="20"/>
              </w:rPr>
            </w:pPr>
            <w:proofErr w:type="spellStart"/>
            <w:r w:rsidRPr="00C52386">
              <w:rPr>
                <w:rFonts w:ascii="Calibri" w:hAnsi="Calibri" w:cs="Calibri"/>
                <w:sz w:val="20"/>
                <w:szCs w:val="20"/>
              </w:rPr>
              <w:t>MoO</w:t>
            </w:r>
            <w:proofErr w:type="spellEnd"/>
            <w:r w:rsidRPr="00C52386">
              <w:rPr>
                <w:rFonts w:ascii="Calibri" w:hAnsi="Calibri" w:cs="Calibri"/>
                <w:sz w:val="20"/>
                <w:szCs w:val="20"/>
              </w:rPr>
              <w:t xml:space="preserve">, </w:t>
            </w:r>
            <w:proofErr w:type="spellStart"/>
            <w:r w:rsidRPr="00C52386">
              <w:rPr>
                <w:rFonts w:ascii="Calibri" w:hAnsi="Calibri" w:cs="Calibri"/>
                <w:sz w:val="20"/>
                <w:szCs w:val="20"/>
              </w:rPr>
              <w:t>MoIM</w:t>
            </w:r>
            <w:proofErr w:type="spellEnd"/>
            <w:r w:rsidRPr="00C52386">
              <w:rPr>
                <w:rFonts w:ascii="Calibri" w:hAnsi="Calibri" w:cs="Calibri"/>
                <w:sz w:val="20"/>
                <w:szCs w:val="20"/>
              </w:rPr>
              <w:t>, KRG MNR, SOEs</w:t>
            </w:r>
          </w:p>
        </w:tc>
        <w:tc>
          <w:tcPr>
            <w:tcW w:w="0" w:type="auto"/>
            <w:tcBorders>
              <w:top w:val="single" w:sz="4" w:space="0" w:color="89AA5F"/>
              <w:left w:val="single" w:sz="4" w:space="0" w:color="89AA5F"/>
              <w:bottom w:val="single" w:sz="4" w:space="0" w:color="89AA5F"/>
              <w:right w:val="single" w:sz="4" w:space="0" w:color="89AA5F"/>
            </w:tcBorders>
            <w:hideMark/>
          </w:tcPr>
          <w:p w14:paraId="2449F718" w14:textId="77777777" w:rsidR="00F178B8" w:rsidRPr="00C52386" w:rsidRDefault="00F178B8" w:rsidP="00F178B8">
            <w:pPr>
              <w:spacing w:after="160" w:line="278" w:lineRule="auto"/>
              <w:rPr>
                <w:rFonts w:ascii="Calibri" w:hAnsi="Calibri" w:cs="Calibri"/>
                <w:sz w:val="20"/>
                <w:szCs w:val="20"/>
                <w:lang w:val="fr-FR"/>
              </w:rPr>
            </w:pPr>
            <w:r w:rsidRPr="00C52386">
              <w:rPr>
                <w:rFonts w:ascii="Calibri" w:hAnsi="Calibri" w:cs="Calibri"/>
                <w:sz w:val="20"/>
                <w:szCs w:val="20"/>
                <w:lang w:val="fr-FR"/>
              </w:rPr>
              <w:t xml:space="preserve">By </w:t>
            </w:r>
            <w:proofErr w:type="spellStart"/>
            <w:r w:rsidRPr="00C52386">
              <w:rPr>
                <w:rFonts w:ascii="Calibri" w:hAnsi="Calibri" w:cs="Calibri"/>
                <w:sz w:val="20"/>
                <w:szCs w:val="20"/>
                <w:lang w:val="fr-FR"/>
              </w:rPr>
              <w:t>contract</w:t>
            </w:r>
            <w:proofErr w:type="spellEnd"/>
            <w:r w:rsidRPr="00C52386">
              <w:rPr>
                <w:rFonts w:ascii="Calibri" w:hAnsi="Calibri" w:cs="Calibri"/>
                <w:sz w:val="20"/>
                <w:szCs w:val="20"/>
                <w:lang w:val="fr-FR"/>
              </w:rPr>
              <w:t xml:space="preserve">, by </w:t>
            </w:r>
            <w:proofErr w:type="spellStart"/>
            <w:r w:rsidRPr="00C52386">
              <w:rPr>
                <w:rFonts w:ascii="Calibri" w:hAnsi="Calibri" w:cs="Calibri"/>
                <w:sz w:val="20"/>
                <w:szCs w:val="20"/>
                <w:lang w:val="fr-FR"/>
              </w:rPr>
              <w:t>company</w:t>
            </w:r>
            <w:proofErr w:type="spellEnd"/>
          </w:p>
        </w:tc>
        <w:tc>
          <w:tcPr>
            <w:tcW w:w="0" w:type="auto"/>
            <w:tcBorders>
              <w:top w:val="single" w:sz="4" w:space="0" w:color="89AA5F"/>
              <w:left w:val="single" w:sz="4" w:space="0" w:color="89AA5F"/>
              <w:bottom w:val="single" w:sz="4" w:space="0" w:color="89AA5F"/>
              <w:right w:val="single" w:sz="4" w:space="0" w:color="89AA5F"/>
            </w:tcBorders>
            <w:hideMark/>
          </w:tcPr>
          <w:p w14:paraId="4499228B" w14:textId="77777777" w:rsidR="00F178B8" w:rsidRPr="00C52386" w:rsidRDefault="00F178B8" w:rsidP="00F178B8">
            <w:pPr>
              <w:spacing w:after="160" w:line="278" w:lineRule="auto"/>
              <w:rPr>
                <w:rFonts w:ascii="Calibri" w:hAnsi="Calibri" w:cs="Calibri"/>
                <w:sz w:val="20"/>
                <w:szCs w:val="20"/>
                <w:lang w:val="fr-FR"/>
              </w:rPr>
            </w:pPr>
            <w:proofErr w:type="spellStart"/>
            <w:r w:rsidRPr="00C52386">
              <w:rPr>
                <w:rFonts w:ascii="Calibri" w:hAnsi="Calibri" w:cs="Calibri"/>
                <w:sz w:val="20"/>
                <w:szCs w:val="20"/>
                <w:lang w:val="fr-FR"/>
              </w:rPr>
              <w:t>Annually</w:t>
            </w:r>
            <w:proofErr w:type="spellEnd"/>
            <w:r w:rsidRPr="00C52386">
              <w:rPr>
                <w:rFonts w:ascii="Calibri" w:hAnsi="Calibri" w:cs="Calibri"/>
                <w:sz w:val="20"/>
                <w:szCs w:val="20"/>
                <w:lang w:val="fr-FR"/>
              </w:rPr>
              <w:t xml:space="preserve"> &amp; </w:t>
            </w:r>
            <w:proofErr w:type="spellStart"/>
            <w:r w:rsidRPr="00C52386">
              <w:rPr>
                <w:rFonts w:ascii="Calibri" w:hAnsi="Calibri" w:cs="Calibri"/>
                <w:sz w:val="20"/>
                <w:szCs w:val="20"/>
                <w:lang w:val="fr-FR"/>
              </w:rPr>
              <w:t>Upon</w:t>
            </w:r>
            <w:proofErr w:type="spellEnd"/>
            <w:r w:rsidRPr="00C52386">
              <w:rPr>
                <w:rFonts w:ascii="Calibri" w:hAnsi="Calibri" w:cs="Calibri"/>
                <w:sz w:val="20"/>
                <w:szCs w:val="20"/>
                <w:lang w:val="fr-FR"/>
              </w:rPr>
              <w:t xml:space="preserve"> Update</w:t>
            </w:r>
          </w:p>
        </w:tc>
        <w:tc>
          <w:tcPr>
            <w:tcW w:w="0" w:type="auto"/>
            <w:tcBorders>
              <w:top w:val="single" w:sz="4" w:space="0" w:color="89AA5F"/>
              <w:left w:val="single" w:sz="4" w:space="0" w:color="89AA5F"/>
              <w:bottom w:val="single" w:sz="4" w:space="0" w:color="89AA5F"/>
              <w:right w:val="single" w:sz="4" w:space="0" w:color="89AA5F"/>
            </w:tcBorders>
            <w:hideMark/>
          </w:tcPr>
          <w:p w14:paraId="41CF0BA2" w14:textId="77777777" w:rsidR="00F178B8" w:rsidRPr="00C52386" w:rsidRDefault="00F178B8" w:rsidP="00F178B8">
            <w:pPr>
              <w:spacing w:after="160" w:line="278" w:lineRule="auto"/>
              <w:rPr>
                <w:rFonts w:ascii="Calibri" w:hAnsi="Calibri" w:cs="Calibri"/>
                <w:sz w:val="20"/>
                <w:szCs w:val="20"/>
                <w:lang w:val="fr-FR"/>
              </w:rPr>
            </w:pPr>
            <w:r w:rsidRPr="00C52386">
              <w:rPr>
                <w:rFonts w:ascii="Calibri" w:hAnsi="Calibri" w:cs="Calibri"/>
                <w:sz w:val="20"/>
                <w:szCs w:val="20"/>
                <w:lang w:val="fr-FR"/>
              </w:rPr>
              <w:t xml:space="preserve">CSV, HTML (PDF </w:t>
            </w:r>
            <w:proofErr w:type="spellStart"/>
            <w:r w:rsidRPr="00C52386">
              <w:rPr>
                <w:rFonts w:ascii="Calibri" w:hAnsi="Calibri" w:cs="Calibri"/>
                <w:sz w:val="20"/>
                <w:szCs w:val="20"/>
                <w:lang w:val="fr-FR"/>
              </w:rPr>
              <w:t>optional</w:t>
            </w:r>
            <w:proofErr w:type="spellEnd"/>
            <w:r w:rsidRPr="00C52386">
              <w:rPr>
                <w:rFonts w:ascii="Calibri" w:hAnsi="Calibri" w:cs="Calibri"/>
                <w:sz w:val="20"/>
                <w:szCs w:val="20"/>
                <w:lang w:val="fr-FR"/>
              </w:rPr>
              <w:t>)</w:t>
            </w:r>
          </w:p>
        </w:tc>
        <w:tc>
          <w:tcPr>
            <w:tcW w:w="0" w:type="auto"/>
            <w:tcBorders>
              <w:top w:val="single" w:sz="4" w:space="0" w:color="89AA5F"/>
              <w:left w:val="single" w:sz="4" w:space="0" w:color="89AA5F"/>
              <w:bottom w:val="single" w:sz="4" w:space="0" w:color="89AA5F"/>
              <w:right w:val="single" w:sz="4" w:space="0" w:color="89AA5F"/>
            </w:tcBorders>
            <w:hideMark/>
          </w:tcPr>
          <w:p w14:paraId="3EFE1739" w14:textId="737EE6F9" w:rsidR="00F178B8" w:rsidRPr="00C52386" w:rsidRDefault="00F178B8" w:rsidP="00F178B8">
            <w:pPr>
              <w:spacing w:after="160" w:line="278" w:lineRule="auto"/>
              <w:rPr>
                <w:rFonts w:ascii="Calibri" w:hAnsi="Calibri" w:cs="Calibri"/>
                <w:sz w:val="20"/>
                <w:szCs w:val="20"/>
              </w:rPr>
            </w:pPr>
            <w:r w:rsidRPr="00C52386">
              <w:rPr>
                <w:rFonts w:ascii="Calibri" w:hAnsi="Calibri" w:cs="Calibri"/>
                <w:sz w:val="20"/>
                <w:szCs w:val="20"/>
              </w:rPr>
              <w:t xml:space="preserve">Ministry websites, </w:t>
            </w:r>
            <w:r w:rsidR="0029544A">
              <w:rPr>
                <w:rFonts w:ascii="Calibri" w:eastAsia="Times New Roman" w:hAnsi="Calibri" w:cs="Calibri"/>
                <w:color w:val="0D0D0D"/>
                <w:kern w:val="0"/>
                <w:sz w:val="20"/>
                <w:szCs w:val="20"/>
                <w:lang w:eastAsia="fr-FR"/>
                <w14:ligatures w14:val="none"/>
              </w:rPr>
              <w:t>NRTC</w:t>
            </w:r>
            <w:r w:rsidRPr="00C52386">
              <w:rPr>
                <w:rFonts w:ascii="Calibri" w:hAnsi="Calibri" w:cs="Calibri"/>
                <w:sz w:val="20"/>
                <w:szCs w:val="20"/>
              </w:rPr>
              <w:t xml:space="preserve"> Iraq portal</w:t>
            </w:r>
          </w:p>
        </w:tc>
      </w:tr>
      <w:tr w:rsidR="00F178B8" w:rsidRPr="00271C51" w14:paraId="2B4D8D75" w14:textId="77777777" w:rsidTr="00F178B8">
        <w:tc>
          <w:tcPr>
            <w:tcW w:w="0" w:type="auto"/>
            <w:tcBorders>
              <w:top w:val="single" w:sz="4" w:space="0" w:color="89AA5F"/>
              <w:left w:val="single" w:sz="4" w:space="0" w:color="89AA5F"/>
              <w:bottom w:val="single" w:sz="4" w:space="0" w:color="89AA5F"/>
              <w:right w:val="single" w:sz="4" w:space="0" w:color="89AA5F"/>
            </w:tcBorders>
            <w:hideMark/>
          </w:tcPr>
          <w:p w14:paraId="1019BB26" w14:textId="77777777" w:rsidR="00F178B8" w:rsidRPr="00C52386" w:rsidRDefault="00F178B8" w:rsidP="00F178B8">
            <w:pPr>
              <w:spacing w:after="160" w:line="278" w:lineRule="auto"/>
              <w:rPr>
                <w:rFonts w:ascii="Calibri" w:hAnsi="Calibri" w:cs="Calibri"/>
                <w:sz w:val="20"/>
                <w:szCs w:val="20"/>
                <w:lang w:val="fr-FR"/>
              </w:rPr>
            </w:pPr>
            <w:r w:rsidRPr="00C52386">
              <w:rPr>
                <w:rFonts w:ascii="Calibri" w:hAnsi="Calibri" w:cs="Calibri"/>
                <w:b/>
                <w:bCs/>
                <w:sz w:val="20"/>
                <w:szCs w:val="20"/>
                <w:lang w:val="fr-FR"/>
              </w:rPr>
              <w:t xml:space="preserve">Fiscal </w:t>
            </w:r>
            <w:proofErr w:type="spellStart"/>
            <w:r w:rsidRPr="00C52386">
              <w:rPr>
                <w:rFonts w:ascii="Calibri" w:hAnsi="Calibri" w:cs="Calibri"/>
                <w:b/>
                <w:bCs/>
                <w:sz w:val="20"/>
                <w:szCs w:val="20"/>
                <w:lang w:val="fr-FR"/>
              </w:rPr>
              <w:t>Devolution</w:t>
            </w:r>
            <w:proofErr w:type="spellEnd"/>
          </w:p>
        </w:tc>
        <w:tc>
          <w:tcPr>
            <w:tcW w:w="0" w:type="auto"/>
            <w:tcBorders>
              <w:top w:val="single" w:sz="4" w:space="0" w:color="89AA5F"/>
              <w:left w:val="single" w:sz="4" w:space="0" w:color="89AA5F"/>
              <w:bottom w:val="single" w:sz="4" w:space="0" w:color="89AA5F"/>
              <w:right w:val="single" w:sz="4" w:space="0" w:color="89AA5F"/>
            </w:tcBorders>
            <w:hideMark/>
          </w:tcPr>
          <w:p w14:paraId="462D5481" w14:textId="77777777" w:rsidR="00F178B8" w:rsidRPr="00C52386" w:rsidRDefault="00F178B8" w:rsidP="00F178B8">
            <w:pPr>
              <w:spacing w:after="160" w:line="278" w:lineRule="auto"/>
              <w:rPr>
                <w:rFonts w:ascii="Calibri" w:hAnsi="Calibri" w:cs="Calibri"/>
                <w:sz w:val="20"/>
                <w:szCs w:val="20"/>
              </w:rPr>
            </w:pPr>
            <w:r w:rsidRPr="00C52386">
              <w:rPr>
                <w:rFonts w:ascii="Calibri" w:hAnsi="Calibri" w:cs="Calibri"/>
                <w:sz w:val="20"/>
                <w:szCs w:val="20"/>
              </w:rPr>
              <w:t>Description of how fiscal powers and revenue flows are shared between federal and regional/subnational levels, including revenue-sharing rules and transfers.</w:t>
            </w:r>
          </w:p>
        </w:tc>
        <w:tc>
          <w:tcPr>
            <w:tcW w:w="0" w:type="auto"/>
            <w:tcBorders>
              <w:top w:val="single" w:sz="4" w:space="0" w:color="89AA5F"/>
              <w:left w:val="single" w:sz="4" w:space="0" w:color="89AA5F"/>
              <w:bottom w:val="single" w:sz="4" w:space="0" w:color="89AA5F"/>
              <w:right w:val="single" w:sz="4" w:space="0" w:color="89AA5F"/>
            </w:tcBorders>
            <w:hideMark/>
          </w:tcPr>
          <w:p w14:paraId="540FBF70" w14:textId="77777777" w:rsidR="00F178B8" w:rsidRPr="00C52386" w:rsidRDefault="00F178B8" w:rsidP="00F178B8">
            <w:pPr>
              <w:spacing w:after="160" w:line="278" w:lineRule="auto"/>
              <w:rPr>
                <w:rFonts w:ascii="Calibri" w:hAnsi="Calibri" w:cs="Calibri"/>
                <w:sz w:val="20"/>
                <w:szCs w:val="20"/>
              </w:rPr>
            </w:pPr>
            <w:r w:rsidRPr="00C52386">
              <w:rPr>
                <w:rFonts w:ascii="Calibri" w:hAnsi="Calibri" w:cs="Calibri"/>
                <w:sz w:val="20"/>
                <w:szCs w:val="20"/>
              </w:rPr>
              <w:t>MoF, Ministry of Oil, KRG Ministry of Finance</w:t>
            </w:r>
          </w:p>
        </w:tc>
        <w:tc>
          <w:tcPr>
            <w:tcW w:w="0" w:type="auto"/>
            <w:tcBorders>
              <w:top w:val="single" w:sz="4" w:space="0" w:color="89AA5F"/>
              <w:left w:val="single" w:sz="4" w:space="0" w:color="89AA5F"/>
              <w:bottom w:val="single" w:sz="4" w:space="0" w:color="89AA5F"/>
              <w:right w:val="single" w:sz="4" w:space="0" w:color="89AA5F"/>
            </w:tcBorders>
            <w:hideMark/>
          </w:tcPr>
          <w:p w14:paraId="7B301F13" w14:textId="77777777" w:rsidR="00F178B8" w:rsidRPr="00C52386" w:rsidRDefault="00F178B8" w:rsidP="00F178B8">
            <w:pPr>
              <w:spacing w:after="160" w:line="278" w:lineRule="auto"/>
              <w:rPr>
                <w:rFonts w:ascii="Calibri" w:hAnsi="Calibri" w:cs="Calibri"/>
                <w:sz w:val="20"/>
                <w:szCs w:val="20"/>
                <w:lang w:val="fr-FR"/>
              </w:rPr>
            </w:pPr>
            <w:r w:rsidRPr="00C52386">
              <w:rPr>
                <w:rFonts w:ascii="Calibri" w:hAnsi="Calibri" w:cs="Calibri"/>
                <w:sz w:val="20"/>
                <w:szCs w:val="20"/>
                <w:lang w:val="fr-FR"/>
              </w:rPr>
              <w:t xml:space="preserve">National, KRG, </w:t>
            </w:r>
            <w:proofErr w:type="spellStart"/>
            <w:r w:rsidRPr="00C52386">
              <w:rPr>
                <w:rFonts w:ascii="Calibri" w:hAnsi="Calibri" w:cs="Calibri"/>
                <w:sz w:val="20"/>
                <w:szCs w:val="20"/>
                <w:lang w:val="fr-FR"/>
              </w:rPr>
              <w:t>regional</w:t>
            </w:r>
            <w:proofErr w:type="spellEnd"/>
          </w:p>
        </w:tc>
        <w:tc>
          <w:tcPr>
            <w:tcW w:w="0" w:type="auto"/>
            <w:tcBorders>
              <w:top w:val="single" w:sz="4" w:space="0" w:color="89AA5F"/>
              <w:left w:val="single" w:sz="4" w:space="0" w:color="89AA5F"/>
              <w:bottom w:val="single" w:sz="4" w:space="0" w:color="89AA5F"/>
              <w:right w:val="single" w:sz="4" w:space="0" w:color="89AA5F"/>
            </w:tcBorders>
            <w:hideMark/>
          </w:tcPr>
          <w:p w14:paraId="0025119E" w14:textId="77777777" w:rsidR="00F178B8" w:rsidRPr="00C52386" w:rsidRDefault="00F178B8" w:rsidP="00F178B8">
            <w:pPr>
              <w:spacing w:after="160" w:line="278" w:lineRule="auto"/>
              <w:rPr>
                <w:rFonts w:ascii="Calibri" w:hAnsi="Calibri" w:cs="Calibri"/>
                <w:sz w:val="20"/>
                <w:szCs w:val="20"/>
                <w:lang w:val="fr-FR"/>
              </w:rPr>
            </w:pPr>
            <w:proofErr w:type="spellStart"/>
            <w:r w:rsidRPr="00C52386">
              <w:rPr>
                <w:rFonts w:ascii="Calibri" w:hAnsi="Calibri" w:cs="Calibri"/>
                <w:sz w:val="20"/>
                <w:szCs w:val="20"/>
                <w:lang w:val="fr-FR"/>
              </w:rPr>
              <w:t>Annually</w:t>
            </w:r>
            <w:proofErr w:type="spellEnd"/>
          </w:p>
        </w:tc>
        <w:tc>
          <w:tcPr>
            <w:tcW w:w="0" w:type="auto"/>
            <w:tcBorders>
              <w:top w:val="single" w:sz="4" w:space="0" w:color="89AA5F"/>
              <w:left w:val="single" w:sz="4" w:space="0" w:color="89AA5F"/>
              <w:bottom w:val="single" w:sz="4" w:space="0" w:color="89AA5F"/>
              <w:right w:val="single" w:sz="4" w:space="0" w:color="89AA5F"/>
            </w:tcBorders>
            <w:hideMark/>
          </w:tcPr>
          <w:p w14:paraId="29219BAA" w14:textId="77777777" w:rsidR="00F178B8" w:rsidRPr="00C52386" w:rsidRDefault="00F178B8" w:rsidP="00F178B8">
            <w:pPr>
              <w:spacing w:after="160" w:line="278" w:lineRule="auto"/>
              <w:rPr>
                <w:rFonts w:ascii="Calibri" w:hAnsi="Calibri" w:cs="Calibri"/>
                <w:sz w:val="20"/>
                <w:szCs w:val="20"/>
                <w:lang w:val="fr-FR"/>
              </w:rPr>
            </w:pPr>
            <w:r w:rsidRPr="00C52386">
              <w:rPr>
                <w:rFonts w:ascii="Calibri" w:hAnsi="Calibri" w:cs="Calibri"/>
                <w:sz w:val="20"/>
                <w:szCs w:val="20"/>
                <w:lang w:val="fr-FR"/>
              </w:rPr>
              <w:t>HTML, CSV</w:t>
            </w:r>
          </w:p>
        </w:tc>
        <w:tc>
          <w:tcPr>
            <w:tcW w:w="0" w:type="auto"/>
            <w:tcBorders>
              <w:top w:val="single" w:sz="4" w:space="0" w:color="89AA5F"/>
              <w:left w:val="single" w:sz="4" w:space="0" w:color="89AA5F"/>
              <w:bottom w:val="single" w:sz="4" w:space="0" w:color="89AA5F"/>
              <w:right w:val="single" w:sz="4" w:space="0" w:color="89AA5F"/>
            </w:tcBorders>
            <w:hideMark/>
          </w:tcPr>
          <w:p w14:paraId="095D8442" w14:textId="48817BE3" w:rsidR="00F178B8" w:rsidRPr="00C52386" w:rsidRDefault="00F178B8" w:rsidP="00F178B8">
            <w:pPr>
              <w:spacing w:after="160" w:line="278" w:lineRule="auto"/>
              <w:rPr>
                <w:rFonts w:ascii="Calibri" w:hAnsi="Calibri" w:cs="Calibri"/>
                <w:sz w:val="20"/>
                <w:szCs w:val="20"/>
                <w:lang w:val="fr-FR"/>
              </w:rPr>
            </w:pPr>
            <w:proofErr w:type="spellStart"/>
            <w:r w:rsidRPr="00C52386">
              <w:rPr>
                <w:rFonts w:ascii="Calibri" w:hAnsi="Calibri" w:cs="Calibri"/>
                <w:sz w:val="20"/>
                <w:szCs w:val="20"/>
                <w:lang w:val="fr-FR"/>
              </w:rPr>
              <w:t>MoF</w:t>
            </w:r>
            <w:proofErr w:type="spellEnd"/>
            <w:r w:rsidRPr="00C52386">
              <w:rPr>
                <w:rFonts w:ascii="Calibri" w:hAnsi="Calibri" w:cs="Calibri"/>
                <w:sz w:val="20"/>
                <w:szCs w:val="20"/>
                <w:lang w:val="fr-FR"/>
              </w:rPr>
              <w:t xml:space="preserve"> </w:t>
            </w:r>
            <w:proofErr w:type="spellStart"/>
            <w:r w:rsidRPr="00C52386">
              <w:rPr>
                <w:rFonts w:ascii="Calibri" w:hAnsi="Calibri" w:cs="Calibri"/>
                <w:sz w:val="20"/>
                <w:szCs w:val="20"/>
                <w:lang w:val="fr-FR"/>
              </w:rPr>
              <w:t>website</w:t>
            </w:r>
            <w:proofErr w:type="spellEnd"/>
            <w:r w:rsidRPr="00C52386">
              <w:rPr>
                <w:rFonts w:ascii="Calibri" w:hAnsi="Calibri" w:cs="Calibri"/>
                <w:sz w:val="20"/>
                <w:szCs w:val="20"/>
                <w:lang w:val="fr-FR"/>
              </w:rPr>
              <w:t xml:space="preserve">, </w:t>
            </w:r>
            <w:r w:rsidR="0029544A">
              <w:rPr>
                <w:rFonts w:ascii="Calibri" w:eastAsia="Times New Roman" w:hAnsi="Calibri" w:cs="Calibri"/>
                <w:color w:val="0D0D0D"/>
                <w:kern w:val="0"/>
                <w:sz w:val="20"/>
                <w:szCs w:val="20"/>
                <w:lang w:eastAsia="fr-FR"/>
                <w14:ligatures w14:val="none"/>
              </w:rPr>
              <w:t>NRTC</w:t>
            </w:r>
            <w:r w:rsidR="0029544A" w:rsidRPr="00C52386">
              <w:rPr>
                <w:rFonts w:ascii="Calibri" w:hAnsi="Calibri" w:cs="Calibri"/>
                <w:sz w:val="20"/>
                <w:szCs w:val="20"/>
                <w:lang w:val="fr-FR"/>
              </w:rPr>
              <w:t xml:space="preserve"> </w:t>
            </w:r>
            <w:r w:rsidRPr="00C52386">
              <w:rPr>
                <w:rFonts w:ascii="Calibri" w:hAnsi="Calibri" w:cs="Calibri"/>
                <w:sz w:val="20"/>
                <w:szCs w:val="20"/>
                <w:lang w:val="fr-FR"/>
              </w:rPr>
              <w:t>Iraq portal</w:t>
            </w:r>
          </w:p>
        </w:tc>
      </w:tr>
      <w:tr w:rsidR="00F178B8" w:rsidRPr="00271C51" w14:paraId="7348FA26" w14:textId="77777777" w:rsidTr="00F178B8">
        <w:tc>
          <w:tcPr>
            <w:tcW w:w="0" w:type="auto"/>
            <w:tcBorders>
              <w:top w:val="single" w:sz="4" w:space="0" w:color="89AA5F"/>
              <w:left w:val="single" w:sz="4" w:space="0" w:color="89AA5F"/>
              <w:bottom w:val="single" w:sz="4" w:space="0" w:color="89AA5F"/>
              <w:right w:val="single" w:sz="4" w:space="0" w:color="89AA5F"/>
            </w:tcBorders>
            <w:hideMark/>
          </w:tcPr>
          <w:p w14:paraId="59387979" w14:textId="77777777" w:rsidR="00F178B8" w:rsidRPr="00C52386" w:rsidRDefault="00F178B8" w:rsidP="00F178B8">
            <w:pPr>
              <w:spacing w:after="160" w:line="278" w:lineRule="auto"/>
              <w:rPr>
                <w:rFonts w:ascii="Calibri" w:hAnsi="Calibri" w:cs="Calibri"/>
                <w:sz w:val="20"/>
                <w:szCs w:val="20"/>
              </w:rPr>
            </w:pPr>
            <w:r w:rsidRPr="00C52386">
              <w:rPr>
                <w:rFonts w:ascii="Calibri" w:hAnsi="Calibri" w:cs="Calibri"/>
                <w:b/>
                <w:bCs/>
                <w:sz w:val="20"/>
                <w:szCs w:val="20"/>
              </w:rPr>
              <w:t>Anti-Corruption Laws and Policies</w:t>
            </w:r>
          </w:p>
        </w:tc>
        <w:tc>
          <w:tcPr>
            <w:tcW w:w="0" w:type="auto"/>
            <w:tcBorders>
              <w:top w:val="single" w:sz="4" w:space="0" w:color="89AA5F"/>
              <w:left w:val="single" w:sz="4" w:space="0" w:color="89AA5F"/>
              <w:bottom w:val="single" w:sz="4" w:space="0" w:color="89AA5F"/>
              <w:right w:val="single" w:sz="4" w:space="0" w:color="89AA5F"/>
            </w:tcBorders>
            <w:hideMark/>
          </w:tcPr>
          <w:p w14:paraId="66990B18" w14:textId="77777777" w:rsidR="00F178B8" w:rsidRPr="00C52386" w:rsidRDefault="00F178B8" w:rsidP="00F178B8">
            <w:pPr>
              <w:spacing w:after="160" w:line="278" w:lineRule="auto"/>
              <w:rPr>
                <w:rFonts w:ascii="Calibri" w:hAnsi="Calibri" w:cs="Calibri"/>
                <w:sz w:val="20"/>
                <w:szCs w:val="20"/>
              </w:rPr>
            </w:pPr>
            <w:r w:rsidRPr="00C52386">
              <w:rPr>
                <w:rFonts w:ascii="Calibri" w:hAnsi="Calibri" w:cs="Calibri"/>
                <w:sz w:val="20"/>
                <w:szCs w:val="20"/>
              </w:rPr>
              <w:t>Overview of legal and regulatory instruments related to anti-corruption in the extractive sector.</w:t>
            </w:r>
          </w:p>
        </w:tc>
        <w:tc>
          <w:tcPr>
            <w:tcW w:w="0" w:type="auto"/>
            <w:tcBorders>
              <w:top w:val="single" w:sz="4" w:space="0" w:color="89AA5F"/>
              <w:left w:val="single" w:sz="4" w:space="0" w:color="89AA5F"/>
              <w:bottom w:val="single" w:sz="4" w:space="0" w:color="89AA5F"/>
              <w:right w:val="single" w:sz="4" w:space="0" w:color="89AA5F"/>
            </w:tcBorders>
            <w:hideMark/>
          </w:tcPr>
          <w:p w14:paraId="184B8664" w14:textId="77777777" w:rsidR="00F178B8" w:rsidRPr="00C52386" w:rsidRDefault="00F178B8" w:rsidP="00F178B8">
            <w:pPr>
              <w:spacing w:after="160" w:line="278" w:lineRule="auto"/>
              <w:rPr>
                <w:rFonts w:ascii="Calibri" w:hAnsi="Calibri" w:cs="Calibri"/>
                <w:sz w:val="20"/>
                <w:szCs w:val="20"/>
              </w:rPr>
            </w:pPr>
            <w:r w:rsidRPr="00C52386">
              <w:rPr>
                <w:rFonts w:ascii="Calibri" w:hAnsi="Calibri" w:cs="Calibri"/>
                <w:sz w:val="20"/>
                <w:szCs w:val="20"/>
              </w:rPr>
              <w:t xml:space="preserve">Commission of Integrity, Ministry of Justice, </w:t>
            </w:r>
            <w:proofErr w:type="spellStart"/>
            <w:r w:rsidRPr="00C52386">
              <w:rPr>
                <w:rFonts w:ascii="Calibri" w:hAnsi="Calibri" w:cs="Calibri"/>
                <w:sz w:val="20"/>
                <w:szCs w:val="20"/>
              </w:rPr>
              <w:t>MoO</w:t>
            </w:r>
            <w:proofErr w:type="spellEnd"/>
            <w:r w:rsidRPr="00C52386">
              <w:rPr>
                <w:rFonts w:ascii="Calibri" w:hAnsi="Calibri" w:cs="Calibri"/>
                <w:sz w:val="20"/>
                <w:szCs w:val="20"/>
              </w:rPr>
              <w:t>, EITI MSG</w:t>
            </w:r>
          </w:p>
        </w:tc>
        <w:tc>
          <w:tcPr>
            <w:tcW w:w="0" w:type="auto"/>
            <w:tcBorders>
              <w:top w:val="single" w:sz="4" w:space="0" w:color="89AA5F"/>
              <w:left w:val="single" w:sz="4" w:space="0" w:color="89AA5F"/>
              <w:bottom w:val="single" w:sz="4" w:space="0" w:color="89AA5F"/>
              <w:right w:val="single" w:sz="4" w:space="0" w:color="89AA5F"/>
            </w:tcBorders>
            <w:hideMark/>
          </w:tcPr>
          <w:p w14:paraId="246F68AC" w14:textId="77777777" w:rsidR="00F178B8" w:rsidRPr="00C52386" w:rsidRDefault="00F178B8" w:rsidP="00F178B8">
            <w:pPr>
              <w:spacing w:after="160" w:line="278" w:lineRule="auto"/>
              <w:rPr>
                <w:rFonts w:ascii="Calibri" w:hAnsi="Calibri" w:cs="Calibri"/>
                <w:sz w:val="20"/>
                <w:szCs w:val="20"/>
                <w:lang w:val="fr-FR"/>
              </w:rPr>
            </w:pPr>
            <w:r w:rsidRPr="00C52386">
              <w:rPr>
                <w:rFonts w:ascii="Calibri" w:hAnsi="Calibri" w:cs="Calibri"/>
                <w:sz w:val="20"/>
                <w:szCs w:val="20"/>
                <w:lang w:val="fr-FR"/>
              </w:rPr>
              <w:t>National</w:t>
            </w:r>
          </w:p>
        </w:tc>
        <w:tc>
          <w:tcPr>
            <w:tcW w:w="0" w:type="auto"/>
            <w:tcBorders>
              <w:top w:val="single" w:sz="4" w:space="0" w:color="89AA5F"/>
              <w:left w:val="single" w:sz="4" w:space="0" w:color="89AA5F"/>
              <w:bottom w:val="single" w:sz="4" w:space="0" w:color="89AA5F"/>
              <w:right w:val="single" w:sz="4" w:space="0" w:color="89AA5F"/>
            </w:tcBorders>
            <w:hideMark/>
          </w:tcPr>
          <w:p w14:paraId="610F46C1" w14:textId="77777777" w:rsidR="00F178B8" w:rsidRPr="00C52386" w:rsidRDefault="00F178B8" w:rsidP="00F178B8">
            <w:pPr>
              <w:spacing w:after="160" w:line="278" w:lineRule="auto"/>
              <w:rPr>
                <w:rFonts w:ascii="Calibri" w:hAnsi="Calibri" w:cs="Calibri"/>
                <w:sz w:val="20"/>
                <w:szCs w:val="20"/>
                <w:lang w:val="fr-FR"/>
              </w:rPr>
            </w:pPr>
            <w:proofErr w:type="spellStart"/>
            <w:r w:rsidRPr="00C52386">
              <w:rPr>
                <w:rFonts w:ascii="Calibri" w:hAnsi="Calibri" w:cs="Calibri"/>
                <w:sz w:val="20"/>
                <w:szCs w:val="20"/>
                <w:lang w:val="fr-FR"/>
              </w:rPr>
              <w:t>Annually</w:t>
            </w:r>
            <w:proofErr w:type="spellEnd"/>
            <w:r w:rsidRPr="00C52386">
              <w:rPr>
                <w:rFonts w:ascii="Calibri" w:hAnsi="Calibri" w:cs="Calibri"/>
                <w:sz w:val="20"/>
                <w:szCs w:val="20"/>
                <w:lang w:val="fr-FR"/>
              </w:rPr>
              <w:t xml:space="preserve"> &amp; </w:t>
            </w:r>
            <w:proofErr w:type="spellStart"/>
            <w:r w:rsidRPr="00C52386">
              <w:rPr>
                <w:rFonts w:ascii="Calibri" w:hAnsi="Calibri" w:cs="Calibri"/>
                <w:sz w:val="20"/>
                <w:szCs w:val="20"/>
                <w:lang w:val="fr-FR"/>
              </w:rPr>
              <w:t>Upon</w:t>
            </w:r>
            <w:proofErr w:type="spellEnd"/>
            <w:r w:rsidRPr="00C52386">
              <w:rPr>
                <w:rFonts w:ascii="Calibri" w:hAnsi="Calibri" w:cs="Calibri"/>
                <w:sz w:val="20"/>
                <w:szCs w:val="20"/>
                <w:lang w:val="fr-FR"/>
              </w:rPr>
              <w:t xml:space="preserve"> Update</w:t>
            </w:r>
          </w:p>
        </w:tc>
        <w:tc>
          <w:tcPr>
            <w:tcW w:w="0" w:type="auto"/>
            <w:tcBorders>
              <w:top w:val="single" w:sz="4" w:space="0" w:color="89AA5F"/>
              <w:left w:val="single" w:sz="4" w:space="0" w:color="89AA5F"/>
              <w:bottom w:val="single" w:sz="4" w:space="0" w:color="89AA5F"/>
              <w:right w:val="single" w:sz="4" w:space="0" w:color="89AA5F"/>
            </w:tcBorders>
            <w:hideMark/>
          </w:tcPr>
          <w:p w14:paraId="221A43C4" w14:textId="77777777" w:rsidR="00F178B8" w:rsidRPr="00C52386" w:rsidRDefault="00F178B8" w:rsidP="00F178B8">
            <w:pPr>
              <w:spacing w:after="160" w:line="278" w:lineRule="auto"/>
              <w:rPr>
                <w:rFonts w:ascii="Calibri" w:hAnsi="Calibri" w:cs="Calibri"/>
                <w:sz w:val="20"/>
                <w:szCs w:val="20"/>
              </w:rPr>
            </w:pPr>
            <w:r w:rsidRPr="00C52386">
              <w:rPr>
                <w:rFonts w:ascii="Calibri" w:hAnsi="Calibri" w:cs="Calibri"/>
                <w:sz w:val="20"/>
                <w:szCs w:val="20"/>
              </w:rPr>
              <w:t>HTML, CSV (PDF for legal references)</w:t>
            </w:r>
          </w:p>
        </w:tc>
        <w:tc>
          <w:tcPr>
            <w:tcW w:w="0" w:type="auto"/>
            <w:tcBorders>
              <w:top w:val="single" w:sz="4" w:space="0" w:color="89AA5F"/>
              <w:left w:val="single" w:sz="4" w:space="0" w:color="89AA5F"/>
              <w:bottom w:val="single" w:sz="4" w:space="0" w:color="89AA5F"/>
              <w:right w:val="single" w:sz="4" w:space="0" w:color="89AA5F"/>
            </w:tcBorders>
            <w:hideMark/>
          </w:tcPr>
          <w:p w14:paraId="64A66E06" w14:textId="395B08B8" w:rsidR="00F178B8" w:rsidRPr="00C52386" w:rsidRDefault="00F178B8" w:rsidP="00F178B8">
            <w:pPr>
              <w:spacing w:after="160" w:line="278" w:lineRule="auto"/>
              <w:rPr>
                <w:rFonts w:ascii="Calibri" w:hAnsi="Calibri" w:cs="Calibri"/>
                <w:sz w:val="20"/>
                <w:szCs w:val="20"/>
                <w:lang w:val="fr-FR"/>
              </w:rPr>
            </w:pPr>
            <w:r w:rsidRPr="00C52386">
              <w:rPr>
                <w:rFonts w:ascii="Calibri" w:hAnsi="Calibri" w:cs="Calibri"/>
                <w:sz w:val="20"/>
                <w:szCs w:val="20"/>
                <w:lang w:val="fr-FR"/>
              </w:rPr>
              <w:t xml:space="preserve">Anti-corruption </w:t>
            </w:r>
            <w:proofErr w:type="spellStart"/>
            <w:r w:rsidRPr="00C52386">
              <w:rPr>
                <w:rFonts w:ascii="Calibri" w:hAnsi="Calibri" w:cs="Calibri"/>
                <w:sz w:val="20"/>
                <w:szCs w:val="20"/>
                <w:lang w:val="fr-FR"/>
              </w:rPr>
              <w:t>agency</w:t>
            </w:r>
            <w:proofErr w:type="spellEnd"/>
            <w:r w:rsidRPr="00C52386">
              <w:rPr>
                <w:rFonts w:ascii="Calibri" w:hAnsi="Calibri" w:cs="Calibri"/>
                <w:sz w:val="20"/>
                <w:szCs w:val="20"/>
                <w:lang w:val="fr-FR"/>
              </w:rPr>
              <w:t xml:space="preserve"> </w:t>
            </w:r>
            <w:proofErr w:type="spellStart"/>
            <w:r w:rsidRPr="00C52386">
              <w:rPr>
                <w:rFonts w:ascii="Calibri" w:hAnsi="Calibri" w:cs="Calibri"/>
                <w:sz w:val="20"/>
                <w:szCs w:val="20"/>
                <w:lang w:val="fr-FR"/>
              </w:rPr>
              <w:t>website</w:t>
            </w:r>
            <w:proofErr w:type="spellEnd"/>
            <w:r w:rsidRPr="00C52386">
              <w:rPr>
                <w:rFonts w:ascii="Calibri" w:hAnsi="Calibri" w:cs="Calibri"/>
                <w:sz w:val="20"/>
                <w:szCs w:val="20"/>
                <w:lang w:val="fr-FR"/>
              </w:rPr>
              <w:t xml:space="preserve">, </w:t>
            </w:r>
            <w:r w:rsidR="0029544A">
              <w:rPr>
                <w:rFonts w:ascii="Calibri" w:eastAsia="Times New Roman" w:hAnsi="Calibri" w:cs="Calibri"/>
                <w:color w:val="0D0D0D"/>
                <w:kern w:val="0"/>
                <w:sz w:val="20"/>
                <w:szCs w:val="20"/>
                <w:lang w:eastAsia="fr-FR"/>
                <w14:ligatures w14:val="none"/>
              </w:rPr>
              <w:t>NRTC</w:t>
            </w:r>
            <w:r w:rsidRPr="00C52386">
              <w:rPr>
                <w:rFonts w:ascii="Calibri" w:hAnsi="Calibri" w:cs="Calibri"/>
                <w:sz w:val="20"/>
                <w:szCs w:val="20"/>
                <w:lang w:val="fr-FR"/>
              </w:rPr>
              <w:t xml:space="preserve"> Iraq portal</w:t>
            </w:r>
          </w:p>
        </w:tc>
      </w:tr>
      <w:tr w:rsidR="00F178B8" w:rsidRPr="00271C51" w14:paraId="6E1369BF" w14:textId="77777777" w:rsidTr="00F178B8">
        <w:tc>
          <w:tcPr>
            <w:tcW w:w="0" w:type="auto"/>
            <w:tcBorders>
              <w:top w:val="single" w:sz="4" w:space="0" w:color="89AA5F"/>
              <w:left w:val="single" w:sz="4" w:space="0" w:color="89AA5F"/>
              <w:bottom w:val="single" w:sz="4" w:space="0" w:color="89AA5F"/>
              <w:right w:val="single" w:sz="4" w:space="0" w:color="89AA5F"/>
            </w:tcBorders>
            <w:hideMark/>
          </w:tcPr>
          <w:p w14:paraId="51B167C2" w14:textId="77777777" w:rsidR="00F178B8" w:rsidRPr="00C52386" w:rsidRDefault="00F178B8" w:rsidP="00F178B8">
            <w:pPr>
              <w:spacing w:after="160" w:line="278" w:lineRule="auto"/>
              <w:rPr>
                <w:rFonts w:ascii="Calibri" w:hAnsi="Calibri" w:cs="Calibri"/>
                <w:sz w:val="20"/>
                <w:szCs w:val="20"/>
              </w:rPr>
            </w:pPr>
            <w:r w:rsidRPr="00C52386">
              <w:rPr>
                <w:rFonts w:ascii="Calibri" w:hAnsi="Calibri" w:cs="Calibri"/>
                <w:b/>
                <w:bCs/>
                <w:sz w:val="20"/>
                <w:szCs w:val="20"/>
              </w:rPr>
              <w:t>Energy Transition Commitments and Policies</w:t>
            </w:r>
          </w:p>
        </w:tc>
        <w:tc>
          <w:tcPr>
            <w:tcW w:w="0" w:type="auto"/>
            <w:tcBorders>
              <w:top w:val="single" w:sz="4" w:space="0" w:color="89AA5F"/>
              <w:left w:val="single" w:sz="4" w:space="0" w:color="89AA5F"/>
              <w:bottom w:val="single" w:sz="4" w:space="0" w:color="89AA5F"/>
              <w:right w:val="single" w:sz="4" w:space="0" w:color="89AA5F"/>
            </w:tcBorders>
            <w:hideMark/>
          </w:tcPr>
          <w:p w14:paraId="1DE6634E" w14:textId="77777777" w:rsidR="00F178B8" w:rsidRPr="00C52386" w:rsidRDefault="00F178B8" w:rsidP="00F178B8">
            <w:pPr>
              <w:spacing w:after="160" w:line="278" w:lineRule="auto"/>
              <w:rPr>
                <w:rFonts w:ascii="Calibri" w:hAnsi="Calibri" w:cs="Calibri"/>
                <w:sz w:val="20"/>
                <w:szCs w:val="20"/>
              </w:rPr>
            </w:pPr>
            <w:r w:rsidRPr="00C52386">
              <w:rPr>
                <w:rFonts w:ascii="Calibri" w:hAnsi="Calibri" w:cs="Calibri"/>
                <w:sz w:val="20"/>
                <w:szCs w:val="20"/>
              </w:rPr>
              <w:t>National and regional strategies related to decarbonization, renewables, and climate objectives affecting the extractive industries.</w:t>
            </w:r>
          </w:p>
        </w:tc>
        <w:tc>
          <w:tcPr>
            <w:tcW w:w="0" w:type="auto"/>
            <w:tcBorders>
              <w:top w:val="single" w:sz="4" w:space="0" w:color="89AA5F"/>
              <w:left w:val="single" w:sz="4" w:space="0" w:color="89AA5F"/>
              <w:bottom w:val="single" w:sz="4" w:space="0" w:color="89AA5F"/>
              <w:right w:val="single" w:sz="4" w:space="0" w:color="89AA5F"/>
            </w:tcBorders>
            <w:hideMark/>
          </w:tcPr>
          <w:p w14:paraId="2A7C7B68" w14:textId="77777777" w:rsidR="00F178B8" w:rsidRPr="00C52386" w:rsidRDefault="00F178B8" w:rsidP="00F178B8">
            <w:pPr>
              <w:spacing w:after="160" w:line="278" w:lineRule="auto"/>
              <w:rPr>
                <w:rFonts w:ascii="Calibri" w:hAnsi="Calibri" w:cs="Calibri"/>
                <w:sz w:val="20"/>
                <w:szCs w:val="20"/>
              </w:rPr>
            </w:pPr>
            <w:proofErr w:type="spellStart"/>
            <w:r w:rsidRPr="00C52386">
              <w:rPr>
                <w:rFonts w:ascii="Calibri" w:hAnsi="Calibri" w:cs="Calibri"/>
                <w:sz w:val="20"/>
                <w:szCs w:val="20"/>
              </w:rPr>
              <w:t>MoO</w:t>
            </w:r>
            <w:proofErr w:type="spellEnd"/>
            <w:r w:rsidRPr="00C52386">
              <w:rPr>
                <w:rFonts w:ascii="Calibri" w:hAnsi="Calibri" w:cs="Calibri"/>
                <w:sz w:val="20"/>
                <w:szCs w:val="20"/>
              </w:rPr>
              <w:t xml:space="preserve">, </w:t>
            </w:r>
            <w:proofErr w:type="spellStart"/>
            <w:r w:rsidRPr="00C52386">
              <w:rPr>
                <w:rFonts w:ascii="Calibri" w:hAnsi="Calibri" w:cs="Calibri"/>
                <w:sz w:val="20"/>
                <w:szCs w:val="20"/>
              </w:rPr>
              <w:t>MoEnv</w:t>
            </w:r>
            <w:proofErr w:type="spellEnd"/>
            <w:r w:rsidRPr="00C52386">
              <w:rPr>
                <w:rFonts w:ascii="Calibri" w:hAnsi="Calibri" w:cs="Calibri"/>
                <w:sz w:val="20"/>
                <w:szCs w:val="20"/>
              </w:rPr>
              <w:t>, KRG MNR, Council of Ministers</w:t>
            </w:r>
          </w:p>
        </w:tc>
        <w:tc>
          <w:tcPr>
            <w:tcW w:w="0" w:type="auto"/>
            <w:tcBorders>
              <w:top w:val="single" w:sz="4" w:space="0" w:color="89AA5F"/>
              <w:left w:val="single" w:sz="4" w:space="0" w:color="89AA5F"/>
              <w:bottom w:val="single" w:sz="4" w:space="0" w:color="89AA5F"/>
              <w:right w:val="single" w:sz="4" w:space="0" w:color="89AA5F"/>
            </w:tcBorders>
            <w:hideMark/>
          </w:tcPr>
          <w:p w14:paraId="049716FB" w14:textId="77777777" w:rsidR="00F178B8" w:rsidRPr="00C52386" w:rsidRDefault="00F178B8" w:rsidP="00F178B8">
            <w:pPr>
              <w:spacing w:after="160" w:line="278" w:lineRule="auto"/>
              <w:rPr>
                <w:rFonts w:ascii="Calibri" w:hAnsi="Calibri" w:cs="Calibri"/>
                <w:sz w:val="20"/>
                <w:szCs w:val="20"/>
                <w:lang w:val="fr-FR"/>
              </w:rPr>
            </w:pPr>
            <w:r w:rsidRPr="00C52386">
              <w:rPr>
                <w:rFonts w:ascii="Calibri" w:hAnsi="Calibri" w:cs="Calibri"/>
                <w:sz w:val="20"/>
                <w:szCs w:val="20"/>
                <w:lang w:val="fr-FR"/>
              </w:rPr>
              <w:t>National and KRG</w:t>
            </w:r>
          </w:p>
        </w:tc>
        <w:tc>
          <w:tcPr>
            <w:tcW w:w="0" w:type="auto"/>
            <w:tcBorders>
              <w:top w:val="single" w:sz="4" w:space="0" w:color="89AA5F"/>
              <w:left w:val="single" w:sz="4" w:space="0" w:color="89AA5F"/>
              <w:bottom w:val="single" w:sz="4" w:space="0" w:color="89AA5F"/>
              <w:right w:val="single" w:sz="4" w:space="0" w:color="89AA5F"/>
            </w:tcBorders>
            <w:hideMark/>
          </w:tcPr>
          <w:p w14:paraId="335958A0" w14:textId="77777777" w:rsidR="00F178B8" w:rsidRPr="00C52386" w:rsidRDefault="00F178B8" w:rsidP="00F178B8">
            <w:pPr>
              <w:spacing w:after="160" w:line="278" w:lineRule="auto"/>
              <w:rPr>
                <w:rFonts w:ascii="Calibri" w:hAnsi="Calibri" w:cs="Calibri"/>
                <w:sz w:val="20"/>
                <w:szCs w:val="20"/>
                <w:lang w:val="fr-FR"/>
              </w:rPr>
            </w:pPr>
            <w:proofErr w:type="spellStart"/>
            <w:r w:rsidRPr="00C52386">
              <w:rPr>
                <w:rFonts w:ascii="Calibri" w:hAnsi="Calibri" w:cs="Calibri"/>
                <w:sz w:val="20"/>
                <w:szCs w:val="20"/>
                <w:lang w:val="fr-FR"/>
              </w:rPr>
              <w:t>Annually</w:t>
            </w:r>
            <w:proofErr w:type="spellEnd"/>
            <w:r w:rsidRPr="00C52386">
              <w:rPr>
                <w:rFonts w:ascii="Calibri" w:hAnsi="Calibri" w:cs="Calibri"/>
                <w:sz w:val="20"/>
                <w:szCs w:val="20"/>
                <w:lang w:val="fr-FR"/>
              </w:rPr>
              <w:t xml:space="preserve"> &amp; </w:t>
            </w:r>
            <w:proofErr w:type="spellStart"/>
            <w:r w:rsidRPr="00C52386">
              <w:rPr>
                <w:rFonts w:ascii="Calibri" w:hAnsi="Calibri" w:cs="Calibri"/>
                <w:sz w:val="20"/>
                <w:szCs w:val="20"/>
                <w:lang w:val="fr-FR"/>
              </w:rPr>
              <w:t>Upon</w:t>
            </w:r>
            <w:proofErr w:type="spellEnd"/>
            <w:r w:rsidRPr="00C52386">
              <w:rPr>
                <w:rFonts w:ascii="Calibri" w:hAnsi="Calibri" w:cs="Calibri"/>
                <w:sz w:val="20"/>
                <w:szCs w:val="20"/>
                <w:lang w:val="fr-FR"/>
              </w:rPr>
              <w:t xml:space="preserve"> Update</w:t>
            </w:r>
          </w:p>
        </w:tc>
        <w:tc>
          <w:tcPr>
            <w:tcW w:w="0" w:type="auto"/>
            <w:tcBorders>
              <w:top w:val="single" w:sz="4" w:space="0" w:color="89AA5F"/>
              <w:left w:val="single" w:sz="4" w:space="0" w:color="89AA5F"/>
              <w:bottom w:val="single" w:sz="4" w:space="0" w:color="89AA5F"/>
              <w:right w:val="single" w:sz="4" w:space="0" w:color="89AA5F"/>
            </w:tcBorders>
            <w:hideMark/>
          </w:tcPr>
          <w:p w14:paraId="05A9C9DF" w14:textId="77777777" w:rsidR="00F178B8" w:rsidRPr="00C52386" w:rsidRDefault="00F178B8" w:rsidP="00F178B8">
            <w:pPr>
              <w:spacing w:after="160" w:line="278" w:lineRule="auto"/>
              <w:rPr>
                <w:rFonts w:ascii="Calibri" w:hAnsi="Calibri" w:cs="Calibri"/>
                <w:sz w:val="20"/>
                <w:szCs w:val="20"/>
                <w:lang w:val="fr-FR"/>
              </w:rPr>
            </w:pPr>
            <w:r w:rsidRPr="00C52386">
              <w:rPr>
                <w:rFonts w:ascii="Calibri" w:hAnsi="Calibri" w:cs="Calibri"/>
                <w:sz w:val="20"/>
                <w:szCs w:val="20"/>
                <w:lang w:val="fr-FR"/>
              </w:rPr>
              <w:t>HTML, CSV</w:t>
            </w:r>
          </w:p>
        </w:tc>
        <w:tc>
          <w:tcPr>
            <w:tcW w:w="0" w:type="auto"/>
            <w:tcBorders>
              <w:top w:val="single" w:sz="4" w:space="0" w:color="89AA5F"/>
              <w:left w:val="single" w:sz="4" w:space="0" w:color="89AA5F"/>
              <w:bottom w:val="single" w:sz="4" w:space="0" w:color="89AA5F"/>
              <w:right w:val="single" w:sz="4" w:space="0" w:color="89AA5F"/>
            </w:tcBorders>
            <w:hideMark/>
          </w:tcPr>
          <w:p w14:paraId="5DB21806" w14:textId="2AA7B8A2" w:rsidR="00F178B8" w:rsidRPr="00C52386" w:rsidRDefault="0029544A" w:rsidP="00F178B8">
            <w:pPr>
              <w:spacing w:after="160" w:line="278" w:lineRule="auto"/>
              <w:rPr>
                <w:rFonts w:ascii="Calibri" w:hAnsi="Calibri" w:cs="Calibri"/>
                <w:sz w:val="20"/>
                <w:szCs w:val="20"/>
              </w:rPr>
            </w:pPr>
            <w:r>
              <w:rPr>
                <w:rFonts w:ascii="Calibri" w:eastAsia="Times New Roman" w:hAnsi="Calibri" w:cs="Calibri"/>
                <w:color w:val="0D0D0D"/>
                <w:kern w:val="0"/>
                <w:sz w:val="20"/>
                <w:szCs w:val="20"/>
                <w:lang w:eastAsia="fr-FR"/>
                <w14:ligatures w14:val="none"/>
              </w:rPr>
              <w:t>NRTC</w:t>
            </w:r>
            <w:r w:rsidR="00F178B8" w:rsidRPr="00C52386">
              <w:rPr>
                <w:rFonts w:ascii="Calibri" w:hAnsi="Calibri" w:cs="Calibri"/>
                <w:sz w:val="20"/>
                <w:szCs w:val="20"/>
              </w:rPr>
              <w:t xml:space="preserve"> Iraq portal, government climate portals</w:t>
            </w:r>
          </w:p>
        </w:tc>
      </w:tr>
      <w:tr w:rsidR="00F178B8" w:rsidRPr="00271C51" w14:paraId="64934F27" w14:textId="77777777" w:rsidTr="00F178B8">
        <w:tc>
          <w:tcPr>
            <w:tcW w:w="0" w:type="auto"/>
            <w:tcBorders>
              <w:top w:val="single" w:sz="4" w:space="0" w:color="89AA5F"/>
              <w:left w:val="single" w:sz="4" w:space="0" w:color="89AA5F"/>
              <w:bottom w:val="single" w:sz="4" w:space="0" w:color="89AA5F"/>
              <w:right w:val="single" w:sz="4" w:space="0" w:color="89AA5F"/>
            </w:tcBorders>
            <w:hideMark/>
          </w:tcPr>
          <w:p w14:paraId="79CCA604" w14:textId="77777777" w:rsidR="00F178B8" w:rsidRPr="00C52386" w:rsidRDefault="00F178B8" w:rsidP="00F178B8">
            <w:pPr>
              <w:spacing w:after="160" w:line="278" w:lineRule="auto"/>
              <w:rPr>
                <w:rFonts w:ascii="Calibri" w:hAnsi="Calibri" w:cs="Calibri"/>
                <w:sz w:val="20"/>
                <w:szCs w:val="20"/>
                <w:lang w:val="fr-FR"/>
              </w:rPr>
            </w:pPr>
            <w:r w:rsidRPr="00C52386">
              <w:rPr>
                <w:rFonts w:ascii="Calibri" w:hAnsi="Calibri" w:cs="Calibri"/>
                <w:b/>
                <w:bCs/>
                <w:sz w:val="20"/>
                <w:szCs w:val="20"/>
                <w:lang w:val="fr-FR"/>
              </w:rPr>
              <w:t xml:space="preserve">Carbon Pricing </w:t>
            </w:r>
            <w:proofErr w:type="spellStart"/>
            <w:r w:rsidRPr="00C52386">
              <w:rPr>
                <w:rFonts w:ascii="Calibri" w:hAnsi="Calibri" w:cs="Calibri"/>
                <w:b/>
                <w:bCs/>
                <w:sz w:val="20"/>
                <w:szCs w:val="20"/>
                <w:lang w:val="fr-FR"/>
              </w:rPr>
              <w:t>Mechanisms</w:t>
            </w:r>
            <w:proofErr w:type="spellEnd"/>
          </w:p>
        </w:tc>
        <w:tc>
          <w:tcPr>
            <w:tcW w:w="0" w:type="auto"/>
            <w:tcBorders>
              <w:top w:val="single" w:sz="4" w:space="0" w:color="89AA5F"/>
              <w:left w:val="single" w:sz="4" w:space="0" w:color="89AA5F"/>
              <w:bottom w:val="single" w:sz="4" w:space="0" w:color="89AA5F"/>
              <w:right w:val="single" w:sz="4" w:space="0" w:color="89AA5F"/>
            </w:tcBorders>
            <w:hideMark/>
          </w:tcPr>
          <w:p w14:paraId="3B09DB5E" w14:textId="77777777" w:rsidR="00F178B8" w:rsidRPr="00C52386" w:rsidRDefault="00F178B8" w:rsidP="00F178B8">
            <w:pPr>
              <w:spacing w:after="160" w:line="278" w:lineRule="auto"/>
              <w:rPr>
                <w:rFonts w:ascii="Calibri" w:hAnsi="Calibri" w:cs="Calibri"/>
                <w:sz w:val="20"/>
                <w:szCs w:val="20"/>
              </w:rPr>
            </w:pPr>
            <w:r w:rsidRPr="00C52386">
              <w:rPr>
                <w:rFonts w:ascii="Calibri" w:hAnsi="Calibri" w:cs="Calibri"/>
                <w:sz w:val="20"/>
                <w:szCs w:val="20"/>
              </w:rPr>
              <w:t>Description of carbon taxes, emissions trading, or other pricing tools applicable to extractive industries.</w:t>
            </w:r>
          </w:p>
        </w:tc>
        <w:tc>
          <w:tcPr>
            <w:tcW w:w="0" w:type="auto"/>
            <w:tcBorders>
              <w:top w:val="single" w:sz="4" w:space="0" w:color="89AA5F"/>
              <w:left w:val="single" w:sz="4" w:space="0" w:color="89AA5F"/>
              <w:bottom w:val="single" w:sz="4" w:space="0" w:color="89AA5F"/>
              <w:right w:val="single" w:sz="4" w:space="0" w:color="89AA5F"/>
            </w:tcBorders>
            <w:hideMark/>
          </w:tcPr>
          <w:p w14:paraId="04317EFE" w14:textId="77777777" w:rsidR="00F178B8" w:rsidRPr="00C52386" w:rsidRDefault="00F178B8" w:rsidP="00F178B8">
            <w:pPr>
              <w:spacing w:after="160" w:line="278" w:lineRule="auto"/>
              <w:rPr>
                <w:rFonts w:ascii="Calibri" w:hAnsi="Calibri" w:cs="Calibri"/>
                <w:sz w:val="20"/>
                <w:szCs w:val="20"/>
                <w:lang w:val="fr-FR"/>
              </w:rPr>
            </w:pPr>
            <w:proofErr w:type="spellStart"/>
            <w:r w:rsidRPr="00C52386">
              <w:rPr>
                <w:rFonts w:ascii="Calibri" w:hAnsi="Calibri" w:cs="Calibri"/>
                <w:sz w:val="20"/>
                <w:szCs w:val="20"/>
                <w:lang w:val="fr-FR"/>
              </w:rPr>
              <w:t>MoF</w:t>
            </w:r>
            <w:proofErr w:type="spellEnd"/>
            <w:r w:rsidRPr="00C52386">
              <w:rPr>
                <w:rFonts w:ascii="Calibri" w:hAnsi="Calibri" w:cs="Calibri"/>
                <w:sz w:val="20"/>
                <w:szCs w:val="20"/>
                <w:lang w:val="fr-FR"/>
              </w:rPr>
              <w:t xml:space="preserve">, </w:t>
            </w:r>
            <w:proofErr w:type="spellStart"/>
            <w:r w:rsidRPr="00C52386">
              <w:rPr>
                <w:rFonts w:ascii="Calibri" w:hAnsi="Calibri" w:cs="Calibri"/>
                <w:sz w:val="20"/>
                <w:szCs w:val="20"/>
                <w:lang w:val="fr-FR"/>
              </w:rPr>
              <w:t>MoEnv</w:t>
            </w:r>
            <w:proofErr w:type="spellEnd"/>
            <w:r w:rsidRPr="00C52386">
              <w:rPr>
                <w:rFonts w:ascii="Calibri" w:hAnsi="Calibri" w:cs="Calibri"/>
                <w:sz w:val="20"/>
                <w:szCs w:val="20"/>
                <w:lang w:val="fr-FR"/>
              </w:rPr>
              <w:t>, KRG</w:t>
            </w:r>
          </w:p>
        </w:tc>
        <w:tc>
          <w:tcPr>
            <w:tcW w:w="0" w:type="auto"/>
            <w:tcBorders>
              <w:top w:val="single" w:sz="4" w:space="0" w:color="89AA5F"/>
              <w:left w:val="single" w:sz="4" w:space="0" w:color="89AA5F"/>
              <w:bottom w:val="single" w:sz="4" w:space="0" w:color="89AA5F"/>
              <w:right w:val="single" w:sz="4" w:space="0" w:color="89AA5F"/>
            </w:tcBorders>
            <w:hideMark/>
          </w:tcPr>
          <w:p w14:paraId="79E18194" w14:textId="77777777" w:rsidR="00F178B8" w:rsidRPr="00C52386" w:rsidRDefault="00F178B8" w:rsidP="00F178B8">
            <w:pPr>
              <w:spacing w:after="160" w:line="278" w:lineRule="auto"/>
              <w:rPr>
                <w:rFonts w:ascii="Calibri" w:hAnsi="Calibri" w:cs="Calibri"/>
                <w:sz w:val="20"/>
                <w:szCs w:val="20"/>
                <w:lang w:val="fr-FR"/>
              </w:rPr>
            </w:pPr>
            <w:r w:rsidRPr="00C52386">
              <w:rPr>
                <w:rFonts w:ascii="Calibri" w:hAnsi="Calibri" w:cs="Calibri"/>
                <w:sz w:val="20"/>
                <w:szCs w:val="20"/>
                <w:lang w:val="fr-FR"/>
              </w:rPr>
              <w:t>National and KRG</w:t>
            </w:r>
          </w:p>
        </w:tc>
        <w:tc>
          <w:tcPr>
            <w:tcW w:w="0" w:type="auto"/>
            <w:tcBorders>
              <w:top w:val="single" w:sz="4" w:space="0" w:color="89AA5F"/>
              <w:left w:val="single" w:sz="4" w:space="0" w:color="89AA5F"/>
              <w:bottom w:val="single" w:sz="4" w:space="0" w:color="89AA5F"/>
              <w:right w:val="single" w:sz="4" w:space="0" w:color="89AA5F"/>
            </w:tcBorders>
            <w:hideMark/>
          </w:tcPr>
          <w:p w14:paraId="5B350A84" w14:textId="77777777" w:rsidR="00F178B8" w:rsidRPr="00C52386" w:rsidRDefault="00F178B8" w:rsidP="00F178B8">
            <w:pPr>
              <w:spacing w:after="160" w:line="278" w:lineRule="auto"/>
              <w:rPr>
                <w:rFonts w:ascii="Calibri" w:hAnsi="Calibri" w:cs="Calibri"/>
                <w:sz w:val="20"/>
                <w:szCs w:val="20"/>
                <w:lang w:val="fr-FR"/>
              </w:rPr>
            </w:pPr>
            <w:proofErr w:type="spellStart"/>
            <w:r w:rsidRPr="00C52386">
              <w:rPr>
                <w:rFonts w:ascii="Calibri" w:hAnsi="Calibri" w:cs="Calibri"/>
                <w:sz w:val="20"/>
                <w:szCs w:val="20"/>
                <w:lang w:val="fr-FR"/>
              </w:rPr>
              <w:t>Annually</w:t>
            </w:r>
            <w:proofErr w:type="spellEnd"/>
          </w:p>
        </w:tc>
        <w:tc>
          <w:tcPr>
            <w:tcW w:w="0" w:type="auto"/>
            <w:tcBorders>
              <w:top w:val="single" w:sz="4" w:space="0" w:color="89AA5F"/>
              <w:left w:val="single" w:sz="4" w:space="0" w:color="89AA5F"/>
              <w:bottom w:val="single" w:sz="4" w:space="0" w:color="89AA5F"/>
              <w:right w:val="single" w:sz="4" w:space="0" w:color="89AA5F"/>
            </w:tcBorders>
            <w:hideMark/>
          </w:tcPr>
          <w:p w14:paraId="1CE15E9E" w14:textId="77777777" w:rsidR="00F178B8" w:rsidRPr="00C52386" w:rsidRDefault="00F178B8" w:rsidP="00F178B8">
            <w:pPr>
              <w:spacing w:after="160" w:line="278" w:lineRule="auto"/>
              <w:rPr>
                <w:rFonts w:ascii="Calibri" w:hAnsi="Calibri" w:cs="Calibri"/>
                <w:sz w:val="20"/>
                <w:szCs w:val="20"/>
                <w:lang w:val="fr-FR"/>
              </w:rPr>
            </w:pPr>
            <w:r w:rsidRPr="00C52386">
              <w:rPr>
                <w:rFonts w:ascii="Calibri" w:hAnsi="Calibri" w:cs="Calibri"/>
                <w:sz w:val="20"/>
                <w:szCs w:val="20"/>
                <w:lang w:val="fr-FR"/>
              </w:rPr>
              <w:t>CSV, HTML</w:t>
            </w:r>
          </w:p>
        </w:tc>
        <w:tc>
          <w:tcPr>
            <w:tcW w:w="0" w:type="auto"/>
            <w:tcBorders>
              <w:top w:val="single" w:sz="4" w:space="0" w:color="89AA5F"/>
              <w:left w:val="single" w:sz="4" w:space="0" w:color="89AA5F"/>
              <w:bottom w:val="single" w:sz="4" w:space="0" w:color="89AA5F"/>
              <w:right w:val="single" w:sz="4" w:space="0" w:color="89AA5F"/>
            </w:tcBorders>
            <w:hideMark/>
          </w:tcPr>
          <w:p w14:paraId="0CF7A61F" w14:textId="0F4819E1" w:rsidR="00F178B8" w:rsidRPr="00C52386" w:rsidRDefault="0029544A" w:rsidP="00F178B8">
            <w:pPr>
              <w:spacing w:after="160" w:line="278" w:lineRule="auto"/>
              <w:rPr>
                <w:rFonts w:ascii="Calibri" w:hAnsi="Calibri" w:cs="Calibri"/>
                <w:sz w:val="20"/>
                <w:szCs w:val="20"/>
                <w:lang w:val="fr-FR"/>
              </w:rPr>
            </w:pPr>
            <w:r>
              <w:rPr>
                <w:rFonts w:ascii="Calibri" w:eastAsia="Times New Roman" w:hAnsi="Calibri" w:cs="Calibri"/>
                <w:color w:val="0D0D0D"/>
                <w:kern w:val="0"/>
                <w:sz w:val="20"/>
                <w:szCs w:val="20"/>
                <w:lang w:eastAsia="fr-FR"/>
                <w14:ligatures w14:val="none"/>
              </w:rPr>
              <w:t>NRTC</w:t>
            </w:r>
            <w:r w:rsidR="00F178B8" w:rsidRPr="00C52386">
              <w:rPr>
                <w:rFonts w:ascii="Calibri" w:hAnsi="Calibri" w:cs="Calibri"/>
                <w:sz w:val="20"/>
                <w:szCs w:val="20"/>
                <w:lang w:val="fr-FR"/>
              </w:rPr>
              <w:t xml:space="preserve"> Iraq portal</w:t>
            </w:r>
          </w:p>
        </w:tc>
      </w:tr>
      <w:tr w:rsidR="00F178B8" w:rsidRPr="00271C51" w14:paraId="6521E34D" w14:textId="77777777" w:rsidTr="00F178B8">
        <w:tc>
          <w:tcPr>
            <w:tcW w:w="0" w:type="auto"/>
            <w:tcBorders>
              <w:top w:val="single" w:sz="4" w:space="0" w:color="89AA5F"/>
              <w:left w:val="single" w:sz="4" w:space="0" w:color="89AA5F"/>
              <w:bottom w:val="single" w:sz="4" w:space="0" w:color="89AA5F"/>
              <w:right w:val="single" w:sz="4" w:space="0" w:color="89AA5F"/>
            </w:tcBorders>
            <w:hideMark/>
          </w:tcPr>
          <w:p w14:paraId="02508288" w14:textId="77777777" w:rsidR="00F178B8" w:rsidRPr="00C52386" w:rsidRDefault="00F178B8" w:rsidP="00F178B8">
            <w:pPr>
              <w:spacing w:after="160" w:line="278" w:lineRule="auto"/>
              <w:rPr>
                <w:rFonts w:ascii="Calibri" w:hAnsi="Calibri" w:cs="Calibri"/>
                <w:sz w:val="20"/>
                <w:szCs w:val="20"/>
              </w:rPr>
            </w:pPr>
            <w:r w:rsidRPr="00C52386">
              <w:rPr>
                <w:rFonts w:ascii="Calibri" w:hAnsi="Calibri" w:cs="Calibri"/>
                <w:b/>
                <w:bCs/>
                <w:sz w:val="20"/>
                <w:szCs w:val="20"/>
              </w:rPr>
              <w:t>Public Subsidies and State Support</w:t>
            </w:r>
          </w:p>
        </w:tc>
        <w:tc>
          <w:tcPr>
            <w:tcW w:w="0" w:type="auto"/>
            <w:tcBorders>
              <w:top w:val="single" w:sz="4" w:space="0" w:color="89AA5F"/>
              <w:left w:val="single" w:sz="4" w:space="0" w:color="89AA5F"/>
              <w:bottom w:val="single" w:sz="4" w:space="0" w:color="89AA5F"/>
              <w:right w:val="single" w:sz="4" w:space="0" w:color="89AA5F"/>
            </w:tcBorders>
            <w:hideMark/>
          </w:tcPr>
          <w:p w14:paraId="65AC5C71" w14:textId="77777777" w:rsidR="00F178B8" w:rsidRPr="00C52386" w:rsidRDefault="00F178B8" w:rsidP="00F178B8">
            <w:pPr>
              <w:spacing w:after="160" w:line="278" w:lineRule="auto"/>
              <w:rPr>
                <w:rFonts w:ascii="Calibri" w:hAnsi="Calibri" w:cs="Calibri"/>
                <w:sz w:val="20"/>
                <w:szCs w:val="20"/>
              </w:rPr>
            </w:pPr>
            <w:r w:rsidRPr="00C52386">
              <w:rPr>
                <w:rFonts w:ascii="Calibri" w:hAnsi="Calibri" w:cs="Calibri"/>
                <w:sz w:val="20"/>
                <w:szCs w:val="20"/>
              </w:rPr>
              <w:t>Disclosure of direct and indirect subsidies, including quasi-fiscal expenditures by SOEs and tax incentives.</w:t>
            </w:r>
          </w:p>
        </w:tc>
        <w:tc>
          <w:tcPr>
            <w:tcW w:w="0" w:type="auto"/>
            <w:tcBorders>
              <w:top w:val="single" w:sz="4" w:space="0" w:color="89AA5F"/>
              <w:left w:val="single" w:sz="4" w:space="0" w:color="89AA5F"/>
              <w:bottom w:val="single" w:sz="4" w:space="0" w:color="89AA5F"/>
              <w:right w:val="single" w:sz="4" w:space="0" w:color="89AA5F"/>
            </w:tcBorders>
            <w:hideMark/>
          </w:tcPr>
          <w:p w14:paraId="20634E5F" w14:textId="77777777" w:rsidR="00F178B8" w:rsidRPr="00C52386" w:rsidRDefault="00F178B8" w:rsidP="00F178B8">
            <w:pPr>
              <w:spacing w:after="160" w:line="278" w:lineRule="auto"/>
              <w:rPr>
                <w:rFonts w:ascii="Calibri" w:hAnsi="Calibri" w:cs="Calibri"/>
                <w:sz w:val="20"/>
                <w:szCs w:val="20"/>
              </w:rPr>
            </w:pPr>
            <w:r w:rsidRPr="00C52386">
              <w:rPr>
                <w:rFonts w:ascii="Calibri" w:hAnsi="Calibri" w:cs="Calibri"/>
                <w:sz w:val="20"/>
                <w:szCs w:val="20"/>
              </w:rPr>
              <w:t>MoF, Central Bank, SOEs, KRG</w:t>
            </w:r>
          </w:p>
        </w:tc>
        <w:tc>
          <w:tcPr>
            <w:tcW w:w="0" w:type="auto"/>
            <w:tcBorders>
              <w:top w:val="single" w:sz="4" w:space="0" w:color="89AA5F"/>
              <w:left w:val="single" w:sz="4" w:space="0" w:color="89AA5F"/>
              <w:bottom w:val="single" w:sz="4" w:space="0" w:color="89AA5F"/>
              <w:right w:val="single" w:sz="4" w:space="0" w:color="89AA5F"/>
            </w:tcBorders>
            <w:hideMark/>
          </w:tcPr>
          <w:p w14:paraId="1CC24B89" w14:textId="77777777" w:rsidR="00F178B8" w:rsidRPr="00C52386" w:rsidRDefault="00F178B8" w:rsidP="00F178B8">
            <w:pPr>
              <w:spacing w:after="160" w:line="278" w:lineRule="auto"/>
              <w:rPr>
                <w:rFonts w:ascii="Calibri" w:hAnsi="Calibri" w:cs="Calibri"/>
                <w:sz w:val="20"/>
                <w:szCs w:val="20"/>
                <w:lang w:val="fr-FR"/>
              </w:rPr>
            </w:pPr>
            <w:r w:rsidRPr="00C52386">
              <w:rPr>
                <w:rFonts w:ascii="Calibri" w:hAnsi="Calibri" w:cs="Calibri"/>
                <w:sz w:val="20"/>
                <w:szCs w:val="20"/>
                <w:lang w:val="fr-FR"/>
              </w:rPr>
              <w:t>National, KRG, SOE-</w:t>
            </w:r>
            <w:proofErr w:type="spellStart"/>
            <w:r w:rsidRPr="00C52386">
              <w:rPr>
                <w:rFonts w:ascii="Calibri" w:hAnsi="Calibri" w:cs="Calibri"/>
                <w:sz w:val="20"/>
                <w:szCs w:val="20"/>
                <w:lang w:val="fr-FR"/>
              </w:rPr>
              <w:t>level</w:t>
            </w:r>
            <w:proofErr w:type="spellEnd"/>
          </w:p>
        </w:tc>
        <w:tc>
          <w:tcPr>
            <w:tcW w:w="0" w:type="auto"/>
            <w:tcBorders>
              <w:top w:val="single" w:sz="4" w:space="0" w:color="89AA5F"/>
              <w:left w:val="single" w:sz="4" w:space="0" w:color="89AA5F"/>
              <w:bottom w:val="single" w:sz="4" w:space="0" w:color="89AA5F"/>
              <w:right w:val="single" w:sz="4" w:space="0" w:color="89AA5F"/>
            </w:tcBorders>
            <w:hideMark/>
          </w:tcPr>
          <w:p w14:paraId="64D88303" w14:textId="77777777" w:rsidR="00F178B8" w:rsidRPr="00C52386" w:rsidRDefault="00F178B8" w:rsidP="00F178B8">
            <w:pPr>
              <w:spacing w:after="160" w:line="278" w:lineRule="auto"/>
              <w:rPr>
                <w:rFonts w:ascii="Calibri" w:hAnsi="Calibri" w:cs="Calibri"/>
                <w:sz w:val="20"/>
                <w:szCs w:val="20"/>
                <w:lang w:val="fr-FR"/>
              </w:rPr>
            </w:pPr>
            <w:proofErr w:type="spellStart"/>
            <w:r w:rsidRPr="00C52386">
              <w:rPr>
                <w:rFonts w:ascii="Calibri" w:hAnsi="Calibri" w:cs="Calibri"/>
                <w:sz w:val="20"/>
                <w:szCs w:val="20"/>
                <w:lang w:val="fr-FR"/>
              </w:rPr>
              <w:t>Annually</w:t>
            </w:r>
            <w:proofErr w:type="spellEnd"/>
            <w:r w:rsidRPr="00C52386">
              <w:rPr>
                <w:rFonts w:ascii="Calibri" w:hAnsi="Calibri" w:cs="Calibri"/>
                <w:sz w:val="20"/>
                <w:szCs w:val="20"/>
                <w:lang w:val="fr-FR"/>
              </w:rPr>
              <w:t xml:space="preserve"> &amp; </w:t>
            </w:r>
            <w:proofErr w:type="spellStart"/>
            <w:r w:rsidRPr="00C52386">
              <w:rPr>
                <w:rFonts w:ascii="Calibri" w:hAnsi="Calibri" w:cs="Calibri"/>
                <w:sz w:val="20"/>
                <w:szCs w:val="20"/>
                <w:lang w:val="fr-FR"/>
              </w:rPr>
              <w:t>Upon</w:t>
            </w:r>
            <w:proofErr w:type="spellEnd"/>
            <w:r w:rsidRPr="00C52386">
              <w:rPr>
                <w:rFonts w:ascii="Calibri" w:hAnsi="Calibri" w:cs="Calibri"/>
                <w:sz w:val="20"/>
                <w:szCs w:val="20"/>
                <w:lang w:val="fr-FR"/>
              </w:rPr>
              <w:t xml:space="preserve"> Reform</w:t>
            </w:r>
          </w:p>
        </w:tc>
        <w:tc>
          <w:tcPr>
            <w:tcW w:w="0" w:type="auto"/>
            <w:tcBorders>
              <w:top w:val="single" w:sz="4" w:space="0" w:color="89AA5F"/>
              <w:left w:val="single" w:sz="4" w:space="0" w:color="89AA5F"/>
              <w:bottom w:val="single" w:sz="4" w:space="0" w:color="89AA5F"/>
              <w:right w:val="single" w:sz="4" w:space="0" w:color="89AA5F"/>
            </w:tcBorders>
            <w:hideMark/>
          </w:tcPr>
          <w:p w14:paraId="6126E56D" w14:textId="77777777" w:rsidR="00F178B8" w:rsidRPr="00C52386" w:rsidRDefault="00F178B8" w:rsidP="00F178B8">
            <w:pPr>
              <w:spacing w:after="160" w:line="278" w:lineRule="auto"/>
              <w:rPr>
                <w:rFonts w:ascii="Calibri" w:hAnsi="Calibri" w:cs="Calibri"/>
                <w:sz w:val="20"/>
                <w:szCs w:val="20"/>
                <w:lang w:val="fr-FR"/>
              </w:rPr>
            </w:pPr>
            <w:r w:rsidRPr="00C52386">
              <w:rPr>
                <w:rFonts w:ascii="Calibri" w:hAnsi="Calibri" w:cs="Calibri"/>
                <w:sz w:val="20"/>
                <w:szCs w:val="20"/>
                <w:lang w:val="fr-FR"/>
              </w:rPr>
              <w:t>CSV, HTML</w:t>
            </w:r>
          </w:p>
        </w:tc>
        <w:tc>
          <w:tcPr>
            <w:tcW w:w="0" w:type="auto"/>
            <w:tcBorders>
              <w:top w:val="single" w:sz="4" w:space="0" w:color="89AA5F"/>
              <w:left w:val="single" w:sz="4" w:space="0" w:color="89AA5F"/>
              <w:bottom w:val="single" w:sz="4" w:space="0" w:color="89AA5F"/>
              <w:right w:val="single" w:sz="4" w:space="0" w:color="89AA5F"/>
            </w:tcBorders>
            <w:hideMark/>
          </w:tcPr>
          <w:p w14:paraId="2C3C708C" w14:textId="3EB99D1A" w:rsidR="00F178B8" w:rsidRPr="00C52386" w:rsidRDefault="0029544A" w:rsidP="00F178B8">
            <w:pPr>
              <w:spacing w:after="160" w:line="278" w:lineRule="auto"/>
              <w:rPr>
                <w:rFonts w:ascii="Calibri" w:hAnsi="Calibri" w:cs="Calibri"/>
                <w:sz w:val="20"/>
                <w:szCs w:val="20"/>
                <w:lang w:val="fr-FR"/>
              </w:rPr>
            </w:pPr>
            <w:r>
              <w:rPr>
                <w:rFonts w:ascii="Calibri" w:eastAsia="Times New Roman" w:hAnsi="Calibri" w:cs="Calibri"/>
                <w:color w:val="0D0D0D"/>
                <w:kern w:val="0"/>
                <w:sz w:val="20"/>
                <w:szCs w:val="20"/>
                <w:lang w:eastAsia="fr-FR"/>
                <w14:ligatures w14:val="none"/>
              </w:rPr>
              <w:t>NRTC</w:t>
            </w:r>
            <w:r w:rsidR="00F178B8" w:rsidRPr="00C52386">
              <w:rPr>
                <w:rFonts w:ascii="Calibri" w:hAnsi="Calibri" w:cs="Calibri"/>
                <w:sz w:val="20"/>
                <w:szCs w:val="20"/>
                <w:lang w:val="fr-FR"/>
              </w:rPr>
              <w:t xml:space="preserve"> Iraq portal, </w:t>
            </w:r>
            <w:proofErr w:type="spellStart"/>
            <w:r w:rsidR="00F178B8" w:rsidRPr="00C52386">
              <w:rPr>
                <w:rFonts w:ascii="Calibri" w:hAnsi="Calibri" w:cs="Calibri"/>
                <w:sz w:val="20"/>
                <w:szCs w:val="20"/>
                <w:lang w:val="fr-FR"/>
              </w:rPr>
              <w:t>MoF</w:t>
            </w:r>
            <w:proofErr w:type="spellEnd"/>
            <w:r w:rsidR="00F178B8" w:rsidRPr="00C52386">
              <w:rPr>
                <w:rFonts w:ascii="Calibri" w:hAnsi="Calibri" w:cs="Calibri"/>
                <w:sz w:val="20"/>
                <w:szCs w:val="20"/>
                <w:lang w:val="fr-FR"/>
              </w:rPr>
              <w:t xml:space="preserve"> </w:t>
            </w:r>
            <w:proofErr w:type="spellStart"/>
            <w:r w:rsidR="00F178B8" w:rsidRPr="00C52386">
              <w:rPr>
                <w:rFonts w:ascii="Calibri" w:hAnsi="Calibri" w:cs="Calibri"/>
                <w:sz w:val="20"/>
                <w:szCs w:val="20"/>
                <w:lang w:val="fr-FR"/>
              </w:rPr>
              <w:t>website</w:t>
            </w:r>
            <w:proofErr w:type="spellEnd"/>
          </w:p>
        </w:tc>
      </w:tr>
      <w:tr w:rsidR="00F178B8" w:rsidRPr="00271C51" w14:paraId="454B1EC0" w14:textId="77777777" w:rsidTr="00F178B8">
        <w:tc>
          <w:tcPr>
            <w:tcW w:w="0" w:type="auto"/>
            <w:tcBorders>
              <w:top w:val="single" w:sz="4" w:space="0" w:color="89AA5F"/>
              <w:left w:val="single" w:sz="4" w:space="0" w:color="89AA5F"/>
              <w:bottom w:val="single" w:sz="4" w:space="0" w:color="89AA5F"/>
              <w:right w:val="single" w:sz="4" w:space="0" w:color="89AA5F"/>
            </w:tcBorders>
            <w:hideMark/>
          </w:tcPr>
          <w:p w14:paraId="6019F961" w14:textId="77777777" w:rsidR="00F178B8" w:rsidRPr="00C52386" w:rsidRDefault="00F178B8" w:rsidP="00F178B8">
            <w:pPr>
              <w:spacing w:after="160" w:line="278" w:lineRule="auto"/>
              <w:rPr>
                <w:rFonts w:ascii="Calibri" w:hAnsi="Calibri" w:cs="Calibri"/>
                <w:sz w:val="20"/>
                <w:szCs w:val="20"/>
              </w:rPr>
            </w:pPr>
            <w:r w:rsidRPr="00C52386">
              <w:rPr>
                <w:rFonts w:ascii="Calibri" w:hAnsi="Calibri" w:cs="Calibri"/>
                <w:b/>
                <w:bCs/>
                <w:sz w:val="20"/>
                <w:szCs w:val="20"/>
              </w:rPr>
              <w:t>Ongoing and Planned Fiscal and Policy Reforms</w:t>
            </w:r>
          </w:p>
        </w:tc>
        <w:tc>
          <w:tcPr>
            <w:tcW w:w="0" w:type="auto"/>
            <w:tcBorders>
              <w:top w:val="single" w:sz="4" w:space="0" w:color="89AA5F"/>
              <w:left w:val="single" w:sz="4" w:space="0" w:color="89AA5F"/>
              <w:bottom w:val="single" w:sz="4" w:space="0" w:color="89AA5F"/>
              <w:right w:val="single" w:sz="4" w:space="0" w:color="89AA5F"/>
            </w:tcBorders>
            <w:hideMark/>
          </w:tcPr>
          <w:p w14:paraId="5F80FA78" w14:textId="77777777" w:rsidR="00F178B8" w:rsidRPr="00C52386" w:rsidRDefault="00F178B8" w:rsidP="00F178B8">
            <w:pPr>
              <w:spacing w:after="160" w:line="278" w:lineRule="auto"/>
              <w:rPr>
                <w:rFonts w:ascii="Calibri" w:hAnsi="Calibri" w:cs="Calibri"/>
                <w:sz w:val="20"/>
                <w:szCs w:val="20"/>
              </w:rPr>
            </w:pPr>
            <w:r w:rsidRPr="00C52386">
              <w:rPr>
                <w:rFonts w:ascii="Calibri" w:hAnsi="Calibri" w:cs="Calibri"/>
                <w:sz w:val="20"/>
                <w:szCs w:val="20"/>
              </w:rPr>
              <w:t>Description of current or planned reforms in fiscal frameworks, institutional mandates, and licensing procedures.</w:t>
            </w:r>
          </w:p>
        </w:tc>
        <w:tc>
          <w:tcPr>
            <w:tcW w:w="0" w:type="auto"/>
            <w:tcBorders>
              <w:top w:val="single" w:sz="4" w:space="0" w:color="89AA5F"/>
              <w:left w:val="single" w:sz="4" w:space="0" w:color="89AA5F"/>
              <w:bottom w:val="single" w:sz="4" w:space="0" w:color="89AA5F"/>
              <w:right w:val="single" w:sz="4" w:space="0" w:color="89AA5F"/>
            </w:tcBorders>
            <w:hideMark/>
          </w:tcPr>
          <w:p w14:paraId="7215AD93" w14:textId="77777777" w:rsidR="00F178B8" w:rsidRPr="00C52386" w:rsidRDefault="00F178B8" w:rsidP="00F178B8">
            <w:pPr>
              <w:spacing w:after="160" w:line="278" w:lineRule="auto"/>
              <w:rPr>
                <w:rFonts w:ascii="Calibri" w:hAnsi="Calibri" w:cs="Calibri"/>
                <w:sz w:val="20"/>
                <w:szCs w:val="20"/>
              </w:rPr>
            </w:pPr>
            <w:proofErr w:type="spellStart"/>
            <w:r w:rsidRPr="00C52386">
              <w:rPr>
                <w:rFonts w:ascii="Calibri" w:hAnsi="Calibri" w:cs="Calibri"/>
                <w:sz w:val="20"/>
                <w:szCs w:val="20"/>
              </w:rPr>
              <w:t>MoO</w:t>
            </w:r>
            <w:proofErr w:type="spellEnd"/>
            <w:r w:rsidRPr="00C52386">
              <w:rPr>
                <w:rFonts w:ascii="Calibri" w:hAnsi="Calibri" w:cs="Calibri"/>
                <w:sz w:val="20"/>
                <w:szCs w:val="20"/>
              </w:rPr>
              <w:t>, MoF, KRG, Council of Ministers</w:t>
            </w:r>
          </w:p>
        </w:tc>
        <w:tc>
          <w:tcPr>
            <w:tcW w:w="0" w:type="auto"/>
            <w:tcBorders>
              <w:top w:val="single" w:sz="4" w:space="0" w:color="89AA5F"/>
              <w:left w:val="single" w:sz="4" w:space="0" w:color="89AA5F"/>
              <w:bottom w:val="single" w:sz="4" w:space="0" w:color="89AA5F"/>
              <w:right w:val="single" w:sz="4" w:space="0" w:color="89AA5F"/>
            </w:tcBorders>
            <w:hideMark/>
          </w:tcPr>
          <w:p w14:paraId="44B0D464" w14:textId="77777777" w:rsidR="00F178B8" w:rsidRPr="00C52386" w:rsidRDefault="00F178B8" w:rsidP="00F178B8">
            <w:pPr>
              <w:spacing w:after="160" w:line="278" w:lineRule="auto"/>
              <w:rPr>
                <w:rFonts w:ascii="Calibri" w:hAnsi="Calibri" w:cs="Calibri"/>
                <w:sz w:val="20"/>
                <w:szCs w:val="20"/>
                <w:lang w:val="fr-FR"/>
              </w:rPr>
            </w:pPr>
            <w:r w:rsidRPr="00C52386">
              <w:rPr>
                <w:rFonts w:ascii="Calibri" w:hAnsi="Calibri" w:cs="Calibri"/>
                <w:sz w:val="20"/>
                <w:szCs w:val="20"/>
                <w:lang w:val="fr-FR"/>
              </w:rPr>
              <w:t>National/KRG</w:t>
            </w:r>
          </w:p>
        </w:tc>
        <w:tc>
          <w:tcPr>
            <w:tcW w:w="0" w:type="auto"/>
            <w:tcBorders>
              <w:top w:val="single" w:sz="4" w:space="0" w:color="89AA5F"/>
              <w:left w:val="single" w:sz="4" w:space="0" w:color="89AA5F"/>
              <w:bottom w:val="single" w:sz="4" w:space="0" w:color="89AA5F"/>
              <w:right w:val="single" w:sz="4" w:space="0" w:color="89AA5F"/>
            </w:tcBorders>
            <w:hideMark/>
          </w:tcPr>
          <w:p w14:paraId="4ED0E10F" w14:textId="77777777" w:rsidR="00F178B8" w:rsidRPr="00C52386" w:rsidRDefault="00F178B8" w:rsidP="00F178B8">
            <w:pPr>
              <w:spacing w:after="160" w:line="278" w:lineRule="auto"/>
              <w:rPr>
                <w:rFonts w:ascii="Calibri" w:hAnsi="Calibri" w:cs="Calibri"/>
                <w:sz w:val="20"/>
                <w:szCs w:val="20"/>
                <w:lang w:val="fr-FR"/>
              </w:rPr>
            </w:pPr>
            <w:proofErr w:type="spellStart"/>
            <w:r w:rsidRPr="00C52386">
              <w:rPr>
                <w:rFonts w:ascii="Calibri" w:hAnsi="Calibri" w:cs="Calibri"/>
                <w:sz w:val="20"/>
                <w:szCs w:val="20"/>
                <w:lang w:val="fr-FR"/>
              </w:rPr>
              <w:t>Annually</w:t>
            </w:r>
            <w:proofErr w:type="spellEnd"/>
            <w:r w:rsidRPr="00C52386">
              <w:rPr>
                <w:rFonts w:ascii="Calibri" w:hAnsi="Calibri" w:cs="Calibri"/>
                <w:sz w:val="20"/>
                <w:szCs w:val="20"/>
                <w:lang w:val="fr-FR"/>
              </w:rPr>
              <w:t xml:space="preserve"> &amp; </w:t>
            </w:r>
            <w:proofErr w:type="spellStart"/>
            <w:r w:rsidRPr="00C52386">
              <w:rPr>
                <w:rFonts w:ascii="Calibri" w:hAnsi="Calibri" w:cs="Calibri"/>
                <w:sz w:val="20"/>
                <w:szCs w:val="20"/>
                <w:lang w:val="fr-FR"/>
              </w:rPr>
              <w:t>Upon</w:t>
            </w:r>
            <w:proofErr w:type="spellEnd"/>
            <w:r w:rsidRPr="00C52386">
              <w:rPr>
                <w:rFonts w:ascii="Calibri" w:hAnsi="Calibri" w:cs="Calibri"/>
                <w:sz w:val="20"/>
                <w:szCs w:val="20"/>
                <w:lang w:val="fr-FR"/>
              </w:rPr>
              <w:t xml:space="preserve"> Update</w:t>
            </w:r>
          </w:p>
        </w:tc>
        <w:tc>
          <w:tcPr>
            <w:tcW w:w="0" w:type="auto"/>
            <w:tcBorders>
              <w:top w:val="single" w:sz="4" w:space="0" w:color="89AA5F"/>
              <w:left w:val="single" w:sz="4" w:space="0" w:color="89AA5F"/>
              <w:bottom w:val="single" w:sz="4" w:space="0" w:color="89AA5F"/>
              <w:right w:val="single" w:sz="4" w:space="0" w:color="89AA5F"/>
            </w:tcBorders>
            <w:hideMark/>
          </w:tcPr>
          <w:p w14:paraId="3E56E965" w14:textId="77777777" w:rsidR="00F178B8" w:rsidRPr="00C52386" w:rsidRDefault="00F178B8" w:rsidP="00F178B8">
            <w:pPr>
              <w:spacing w:after="160" w:line="278" w:lineRule="auto"/>
              <w:rPr>
                <w:rFonts w:ascii="Calibri" w:hAnsi="Calibri" w:cs="Calibri"/>
                <w:sz w:val="20"/>
                <w:szCs w:val="20"/>
                <w:lang w:val="fr-FR"/>
              </w:rPr>
            </w:pPr>
            <w:r w:rsidRPr="00C52386">
              <w:rPr>
                <w:rFonts w:ascii="Calibri" w:hAnsi="Calibri" w:cs="Calibri"/>
                <w:sz w:val="20"/>
                <w:szCs w:val="20"/>
                <w:lang w:val="fr-FR"/>
              </w:rPr>
              <w:t>HTML, CSV</w:t>
            </w:r>
          </w:p>
        </w:tc>
        <w:tc>
          <w:tcPr>
            <w:tcW w:w="0" w:type="auto"/>
            <w:tcBorders>
              <w:top w:val="single" w:sz="4" w:space="0" w:color="89AA5F"/>
              <w:left w:val="single" w:sz="4" w:space="0" w:color="89AA5F"/>
              <w:bottom w:val="single" w:sz="4" w:space="0" w:color="89AA5F"/>
              <w:right w:val="single" w:sz="4" w:space="0" w:color="89AA5F"/>
            </w:tcBorders>
            <w:hideMark/>
          </w:tcPr>
          <w:p w14:paraId="2744A594" w14:textId="59181F96" w:rsidR="00F178B8" w:rsidRPr="00C52386" w:rsidRDefault="0029544A" w:rsidP="00F178B8">
            <w:pPr>
              <w:spacing w:after="160" w:line="278" w:lineRule="auto"/>
              <w:rPr>
                <w:rFonts w:ascii="Calibri" w:hAnsi="Calibri" w:cs="Calibri"/>
                <w:sz w:val="20"/>
                <w:szCs w:val="20"/>
                <w:lang w:val="fr-FR"/>
              </w:rPr>
            </w:pPr>
            <w:r>
              <w:rPr>
                <w:rFonts w:ascii="Calibri" w:eastAsia="Times New Roman" w:hAnsi="Calibri" w:cs="Calibri"/>
                <w:color w:val="0D0D0D"/>
                <w:kern w:val="0"/>
                <w:sz w:val="20"/>
                <w:szCs w:val="20"/>
                <w:lang w:eastAsia="fr-FR"/>
                <w14:ligatures w14:val="none"/>
              </w:rPr>
              <w:t>NRTC</w:t>
            </w:r>
            <w:r w:rsidR="00F178B8" w:rsidRPr="00C52386">
              <w:rPr>
                <w:rFonts w:ascii="Calibri" w:hAnsi="Calibri" w:cs="Calibri"/>
                <w:sz w:val="20"/>
                <w:szCs w:val="20"/>
                <w:lang w:val="fr-FR"/>
              </w:rPr>
              <w:t xml:space="preserve"> Iraq portal</w:t>
            </w:r>
          </w:p>
        </w:tc>
      </w:tr>
      <w:tr w:rsidR="00F178B8" w:rsidRPr="00271C51" w14:paraId="0CAC2B4C" w14:textId="77777777" w:rsidTr="00F178B8">
        <w:tc>
          <w:tcPr>
            <w:tcW w:w="0" w:type="auto"/>
            <w:tcBorders>
              <w:top w:val="single" w:sz="4" w:space="0" w:color="89AA5F"/>
              <w:left w:val="single" w:sz="4" w:space="0" w:color="89AA5F"/>
              <w:bottom w:val="single" w:sz="4" w:space="0" w:color="89AA5F"/>
              <w:right w:val="single" w:sz="4" w:space="0" w:color="89AA5F"/>
            </w:tcBorders>
            <w:hideMark/>
          </w:tcPr>
          <w:p w14:paraId="6DE78E34" w14:textId="77777777" w:rsidR="00F178B8" w:rsidRPr="00C52386" w:rsidRDefault="00F178B8" w:rsidP="00F178B8">
            <w:pPr>
              <w:spacing w:after="160" w:line="278" w:lineRule="auto"/>
              <w:rPr>
                <w:rFonts w:ascii="Calibri" w:hAnsi="Calibri" w:cs="Calibri"/>
                <w:sz w:val="20"/>
                <w:szCs w:val="20"/>
              </w:rPr>
            </w:pPr>
            <w:r w:rsidRPr="00C52386">
              <w:rPr>
                <w:rFonts w:ascii="Calibri" w:hAnsi="Calibri" w:cs="Calibri"/>
                <w:b/>
                <w:bCs/>
                <w:sz w:val="20"/>
                <w:szCs w:val="20"/>
              </w:rPr>
              <w:t>Artisanal and Small-Scale Mining (ASM)</w:t>
            </w:r>
          </w:p>
        </w:tc>
        <w:tc>
          <w:tcPr>
            <w:tcW w:w="0" w:type="auto"/>
            <w:tcBorders>
              <w:top w:val="single" w:sz="4" w:space="0" w:color="89AA5F"/>
              <w:left w:val="single" w:sz="4" w:space="0" w:color="89AA5F"/>
              <w:bottom w:val="single" w:sz="4" w:space="0" w:color="89AA5F"/>
              <w:right w:val="single" w:sz="4" w:space="0" w:color="89AA5F"/>
            </w:tcBorders>
            <w:hideMark/>
          </w:tcPr>
          <w:p w14:paraId="674754A7" w14:textId="77777777" w:rsidR="00F178B8" w:rsidRPr="00C52386" w:rsidRDefault="00F178B8" w:rsidP="00F178B8">
            <w:pPr>
              <w:spacing w:after="160" w:line="278" w:lineRule="auto"/>
              <w:rPr>
                <w:rFonts w:ascii="Calibri" w:hAnsi="Calibri" w:cs="Calibri"/>
                <w:sz w:val="20"/>
                <w:szCs w:val="20"/>
              </w:rPr>
            </w:pPr>
            <w:r w:rsidRPr="00C52386">
              <w:rPr>
                <w:rFonts w:ascii="Calibri" w:hAnsi="Calibri" w:cs="Calibri"/>
                <w:sz w:val="20"/>
                <w:szCs w:val="20"/>
              </w:rPr>
              <w:t>Information on the regulatory framework and institutional arrangements governing ASM, where relevant.</w:t>
            </w:r>
          </w:p>
        </w:tc>
        <w:tc>
          <w:tcPr>
            <w:tcW w:w="0" w:type="auto"/>
            <w:tcBorders>
              <w:top w:val="single" w:sz="4" w:space="0" w:color="89AA5F"/>
              <w:left w:val="single" w:sz="4" w:space="0" w:color="89AA5F"/>
              <w:bottom w:val="single" w:sz="4" w:space="0" w:color="89AA5F"/>
              <w:right w:val="single" w:sz="4" w:space="0" w:color="89AA5F"/>
            </w:tcBorders>
            <w:hideMark/>
          </w:tcPr>
          <w:p w14:paraId="36877CEF" w14:textId="77777777" w:rsidR="00F178B8" w:rsidRPr="00C52386" w:rsidRDefault="00F178B8" w:rsidP="00F178B8">
            <w:pPr>
              <w:spacing w:after="160" w:line="278" w:lineRule="auto"/>
              <w:rPr>
                <w:rFonts w:ascii="Calibri" w:hAnsi="Calibri" w:cs="Calibri"/>
                <w:sz w:val="20"/>
                <w:szCs w:val="20"/>
              </w:rPr>
            </w:pPr>
            <w:proofErr w:type="spellStart"/>
            <w:r w:rsidRPr="00C52386">
              <w:rPr>
                <w:rFonts w:ascii="Calibri" w:hAnsi="Calibri" w:cs="Calibri"/>
                <w:sz w:val="20"/>
                <w:szCs w:val="20"/>
              </w:rPr>
              <w:t>MoIM</w:t>
            </w:r>
            <w:proofErr w:type="spellEnd"/>
            <w:r w:rsidRPr="00C52386">
              <w:rPr>
                <w:rFonts w:ascii="Calibri" w:hAnsi="Calibri" w:cs="Calibri"/>
                <w:sz w:val="20"/>
                <w:szCs w:val="20"/>
              </w:rPr>
              <w:t>, local governments, KRG (if applicable)</w:t>
            </w:r>
          </w:p>
        </w:tc>
        <w:tc>
          <w:tcPr>
            <w:tcW w:w="0" w:type="auto"/>
            <w:tcBorders>
              <w:top w:val="single" w:sz="4" w:space="0" w:color="89AA5F"/>
              <w:left w:val="single" w:sz="4" w:space="0" w:color="89AA5F"/>
              <w:bottom w:val="single" w:sz="4" w:space="0" w:color="89AA5F"/>
              <w:right w:val="single" w:sz="4" w:space="0" w:color="89AA5F"/>
            </w:tcBorders>
            <w:hideMark/>
          </w:tcPr>
          <w:p w14:paraId="06D0B6BE" w14:textId="77777777" w:rsidR="00F178B8" w:rsidRPr="00C52386" w:rsidRDefault="00F178B8" w:rsidP="00F178B8">
            <w:pPr>
              <w:spacing w:after="160" w:line="278" w:lineRule="auto"/>
              <w:rPr>
                <w:rFonts w:ascii="Calibri" w:hAnsi="Calibri" w:cs="Calibri"/>
                <w:sz w:val="20"/>
                <w:szCs w:val="20"/>
                <w:lang w:val="fr-FR"/>
              </w:rPr>
            </w:pPr>
            <w:r w:rsidRPr="00C52386">
              <w:rPr>
                <w:rFonts w:ascii="Calibri" w:hAnsi="Calibri" w:cs="Calibri"/>
                <w:sz w:val="20"/>
                <w:szCs w:val="20"/>
                <w:lang w:val="fr-FR"/>
              </w:rPr>
              <w:t xml:space="preserve">By </w:t>
            </w:r>
            <w:proofErr w:type="spellStart"/>
            <w:r w:rsidRPr="00C52386">
              <w:rPr>
                <w:rFonts w:ascii="Calibri" w:hAnsi="Calibri" w:cs="Calibri"/>
                <w:sz w:val="20"/>
                <w:szCs w:val="20"/>
                <w:lang w:val="fr-FR"/>
              </w:rPr>
              <w:t>region</w:t>
            </w:r>
            <w:proofErr w:type="spellEnd"/>
            <w:r w:rsidRPr="00C52386">
              <w:rPr>
                <w:rFonts w:ascii="Calibri" w:hAnsi="Calibri" w:cs="Calibri"/>
                <w:sz w:val="20"/>
                <w:szCs w:val="20"/>
                <w:lang w:val="fr-FR"/>
              </w:rPr>
              <w:t>/project</w:t>
            </w:r>
          </w:p>
        </w:tc>
        <w:tc>
          <w:tcPr>
            <w:tcW w:w="0" w:type="auto"/>
            <w:tcBorders>
              <w:top w:val="single" w:sz="4" w:space="0" w:color="89AA5F"/>
              <w:left w:val="single" w:sz="4" w:space="0" w:color="89AA5F"/>
              <w:bottom w:val="single" w:sz="4" w:space="0" w:color="89AA5F"/>
              <w:right w:val="single" w:sz="4" w:space="0" w:color="89AA5F"/>
            </w:tcBorders>
            <w:hideMark/>
          </w:tcPr>
          <w:p w14:paraId="0FFF494E" w14:textId="77777777" w:rsidR="00F178B8" w:rsidRPr="00C52386" w:rsidRDefault="00F178B8" w:rsidP="00F178B8">
            <w:pPr>
              <w:spacing w:after="160" w:line="278" w:lineRule="auto"/>
              <w:rPr>
                <w:rFonts w:ascii="Calibri" w:hAnsi="Calibri" w:cs="Calibri"/>
                <w:sz w:val="20"/>
                <w:szCs w:val="20"/>
                <w:lang w:val="fr-FR"/>
              </w:rPr>
            </w:pPr>
            <w:proofErr w:type="spellStart"/>
            <w:r w:rsidRPr="00C52386">
              <w:rPr>
                <w:rFonts w:ascii="Calibri" w:hAnsi="Calibri" w:cs="Calibri"/>
                <w:sz w:val="20"/>
                <w:szCs w:val="20"/>
                <w:lang w:val="fr-FR"/>
              </w:rPr>
              <w:t>Annually</w:t>
            </w:r>
            <w:proofErr w:type="spellEnd"/>
          </w:p>
        </w:tc>
        <w:tc>
          <w:tcPr>
            <w:tcW w:w="0" w:type="auto"/>
            <w:tcBorders>
              <w:top w:val="single" w:sz="4" w:space="0" w:color="89AA5F"/>
              <w:left w:val="single" w:sz="4" w:space="0" w:color="89AA5F"/>
              <w:bottom w:val="single" w:sz="4" w:space="0" w:color="89AA5F"/>
              <w:right w:val="single" w:sz="4" w:space="0" w:color="89AA5F"/>
            </w:tcBorders>
            <w:hideMark/>
          </w:tcPr>
          <w:p w14:paraId="4FABE43E" w14:textId="77777777" w:rsidR="00F178B8" w:rsidRPr="00C52386" w:rsidRDefault="00F178B8" w:rsidP="00F178B8">
            <w:pPr>
              <w:spacing w:after="160" w:line="278" w:lineRule="auto"/>
              <w:rPr>
                <w:rFonts w:ascii="Calibri" w:hAnsi="Calibri" w:cs="Calibri"/>
                <w:sz w:val="20"/>
                <w:szCs w:val="20"/>
                <w:lang w:val="fr-FR"/>
              </w:rPr>
            </w:pPr>
            <w:r w:rsidRPr="00C52386">
              <w:rPr>
                <w:rFonts w:ascii="Calibri" w:hAnsi="Calibri" w:cs="Calibri"/>
                <w:sz w:val="20"/>
                <w:szCs w:val="20"/>
                <w:lang w:val="fr-FR"/>
              </w:rPr>
              <w:t>HTML, CSV</w:t>
            </w:r>
          </w:p>
        </w:tc>
        <w:tc>
          <w:tcPr>
            <w:tcW w:w="0" w:type="auto"/>
            <w:tcBorders>
              <w:top w:val="single" w:sz="4" w:space="0" w:color="89AA5F"/>
              <w:left w:val="single" w:sz="4" w:space="0" w:color="89AA5F"/>
              <w:bottom w:val="single" w:sz="4" w:space="0" w:color="89AA5F"/>
              <w:right w:val="single" w:sz="4" w:space="0" w:color="89AA5F"/>
            </w:tcBorders>
            <w:hideMark/>
          </w:tcPr>
          <w:p w14:paraId="105FED20" w14:textId="1A42DDA8" w:rsidR="00F178B8" w:rsidRPr="00C52386" w:rsidRDefault="00F178B8" w:rsidP="00F178B8">
            <w:pPr>
              <w:spacing w:after="160" w:line="278" w:lineRule="auto"/>
              <w:rPr>
                <w:rFonts w:ascii="Calibri" w:hAnsi="Calibri" w:cs="Calibri"/>
                <w:sz w:val="20"/>
                <w:szCs w:val="20"/>
                <w:lang w:val="fr-FR"/>
              </w:rPr>
            </w:pPr>
            <w:proofErr w:type="spellStart"/>
            <w:r w:rsidRPr="00C52386">
              <w:rPr>
                <w:rFonts w:ascii="Calibri" w:hAnsi="Calibri" w:cs="Calibri"/>
                <w:sz w:val="20"/>
                <w:szCs w:val="20"/>
                <w:lang w:val="fr-FR"/>
              </w:rPr>
              <w:t>MoIM</w:t>
            </w:r>
            <w:proofErr w:type="spellEnd"/>
            <w:r w:rsidRPr="00C52386">
              <w:rPr>
                <w:rFonts w:ascii="Calibri" w:hAnsi="Calibri" w:cs="Calibri"/>
                <w:sz w:val="20"/>
                <w:szCs w:val="20"/>
                <w:lang w:val="fr-FR"/>
              </w:rPr>
              <w:t xml:space="preserve"> </w:t>
            </w:r>
            <w:proofErr w:type="spellStart"/>
            <w:r w:rsidRPr="00C52386">
              <w:rPr>
                <w:rFonts w:ascii="Calibri" w:hAnsi="Calibri" w:cs="Calibri"/>
                <w:sz w:val="20"/>
                <w:szCs w:val="20"/>
                <w:lang w:val="fr-FR"/>
              </w:rPr>
              <w:t>website</w:t>
            </w:r>
            <w:proofErr w:type="spellEnd"/>
            <w:r w:rsidRPr="00C52386">
              <w:rPr>
                <w:rFonts w:ascii="Calibri" w:hAnsi="Calibri" w:cs="Calibri"/>
                <w:sz w:val="20"/>
                <w:szCs w:val="20"/>
                <w:lang w:val="fr-FR"/>
              </w:rPr>
              <w:t xml:space="preserve">, </w:t>
            </w:r>
            <w:r w:rsidR="0029544A">
              <w:rPr>
                <w:rFonts w:ascii="Calibri" w:eastAsia="Times New Roman" w:hAnsi="Calibri" w:cs="Calibri"/>
                <w:color w:val="0D0D0D"/>
                <w:kern w:val="0"/>
                <w:sz w:val="20"/>
                <w:szCs w:val="20"/>
                <w:lang w:eastAsia="fr-FR"/>
                <w14:ligatures w14:val="none"/>
              </w:rPr>
              <w:t>NRTC</w:t>
            </w:r>
            <w:r w:rsidRPr="00C52386">
              <w:rPr>
                <w:rFonts w:ascii="Calibri" w:hAnsi="Calibri" w:cs="Calibri"/>
                <w:sz w:val="20"/>
                <w:szCs w:val="20"/>
                <w:lang w:val="fr-FR"/>
              </w:rPr>
              <w:t xml:space="preserve"> Iraq portal</w:t>
            </w:r>
          </w:p>
        </w:tc>
      </w:tr>
    </w:tbl>
    <w:p w14:paraId="07336C45" w14:textId="4A03D63A" w:rsidR="00760BAD" w:rsidRPr="00A3573B" w:rsidRDefault="005F017B" w:rsidP="00760BAD">
      <w:pPr>
        <w:pStyle w:val="Heading4"/>
        <w:spacing w:before="120" w:after="120"/>
        <w:rPr>
          <w:rFonts w:ascii="Kohinoor Devanagari" w:hAnsi="Kohinoor Devanagari" w:cs="Kohinoor Devanagari"/>
          <w:b/>
          <w:bCs/>
          <w:sz w:val="22"/>
          <w:szCs w:val="22"/>
        </w:rPr>
      </w:pPr>
      <w:r>
        <w:rPr>
          <w:rFonts w:ascii="Kohinoor Devanagari" w:hAnsi="Kohinoor Devanagari" w:cs="Kohinoor Devanagari"/>
          <w:b/>
          <w:bCs/>
          <w:sz w:val="22"/>
          <w:szCs w:val="22"/>
        </w:rPr>
        <w:t>2.2.</w:t>
      </w:r>
      <w:r w:rsidRPr="00A3573B">
        <w:rPr>
          <w:rFonts w:ascii="Kohinoor Devanagari" w:hAnsi="Kohinoor Devanagari" w:cs="Kohinoor Devanagari"/>
          <w:b/>
          <w:bCs/>
          <w:sz w:val="22"/>
          <w:szCs w:val="22"/>
        </w:rPr>
        <w:t xml:space="preserve"> Contracts</w:t>
      </w:r>
      <w:r w:rsidR="00760BAD" w:rsidRPr="00A3573B">
        <w:rPr>
          <w:rFonts w:ascii="Kohinoor Devanagari" w:hAnsi="Kohinoor Devanagari" w:cs="Kohinoor Devanagari"/>
          <w:b/>
          <w:bCs/>
          <w:sz w:val="22"/>
          <w:szCs w:val="22"/>
        </w:rPr>
        <w:t xml:space="preserve"> and Licenses (Requirement 2.4)</w:t>
      </w:r>
    </w:p>
    <w:p w14:paraId="5ACD5839" w14:textId="77777777" w:rsidR="00760BAD" w:rsidRPr="00A3573B" w:rsidRDefault="00760BAD" w:rsidP="00760BAD">
      <w:pPr>
        <w:spacing w:before="120" w:after="120" w:line="240" w:lineRule="auto"/>
        <w:jc w:val="both"/>
        <w:rPr>
          <w:rFonts w:ascii="Kohinoor Devanagari" w:hAnsi="Kohinoor Devanagari" w:cs="Kohinoor Devanagari"/>
          <w:b/>
          <w:bCs/>
          <w:sz w:val="22"/>
          <w:szCs w:val="22"/>
        </w:rPr>
      </w:pPr>
      <w:r w:rsidRPr="00A3573B">
        <w:rPr>
          <w:rFonts w:ascii="Kohinoor Devanagari" w:hAnsi="Kohinoor Devanagari" w:cs="Kohinoor Devanagari"/>
          <w:b/>
          <w:bCs/>
          <w:sz w:val="22"/>
          <w:szCs w:val="22"/>
        </w:rPr>
        <w:t>Objective</w:t>
      </w:r>
    </w:p>
    <w:p w14:paraId="12BE75A6" w14:textId="77777777" w:rsidR="00760BAD" w:rsidRPr="002518F8" w:rsidRDefault="00760BAD" w:rsidP="00760BAD">
      <w:pPr>
        <w:spacing w:before="120" w:after="120" w:line="240" w:lineRule="auto"/>
        <w:jc w:val="both"/>
        <w:rPr>
          <w:rFonts w:ascii="Kohinoor Devanagari" w:hAnsi="Kohinoor Devanagari" w:cs="Kohinoor Devanagari"/>
          <w:sz w:val="22"/>
          <w:szCs w:val="22"/>
        </w:rPr>
      </w:pPr>
      <w:r w:rsidRPr="002518F8">
        <w:rPr>
          <w:rFonts w:ascii="Kohinoor Devanagari" w:hAnsi="Kohinoor Devanagari" w:cs="Kohinoor Devanagari"/>
          <w:sz w:val="22"/>
          <w:szCs w:val="22"/>
        </w:rPr>
        <w:t>This section ensures public access to all contracts and licenses governing extractive activities in Iraq, including both national and Kurdistan Regional Government (KRG) agreements. It aims to:</w:t>
      </w:r>
    </w:p>
    <w:p w14:paraId="2FB42D35" w14:textId="77777777" w:rsidR="00760BAD" w:rsidRPr="002518F8" w:rsidRDefault="00760BAD" w:rsidP="00760BAD">
      <w:pPr>
        <w:numPr>
          <w:ilvl w:val="0"/>
          <w:numId w:val="54"/>
        </w:numPr>
        <w:spacing w:before="120" w:after="120" w:line="240" w:lineRule="auto"/>
        <w:jc w:val="both"/>
        <w:rPr>
          <w:rFonts w:ascii="Kohinoor Devanagari" w:hAnsi="Kohinoor Devanagari" w:cs="Kohinoor Devanagari"/>
          <w:sz w:val="22"/>
          <w:szCs w:val="22"/>
        </w:rPr>
      </w:pPr>
      <w:r w:rsidRPr="002518F8">
        <w:rPr>
          <w:rFonts w:ascii="Kohinoor Devanagari" w:hAnsi="Kohinoor Devanagari" w:cs="Kohinoor Devanagari"/>
          <w:sz w:val="22"/>
          <w:szCs w:val="22"/>
        </w:rPr>
        <w:t>Guarantee transparency in the allocation and terms of extractive contracts.</w:t>
      </w:r>
    </w:p>
    <w:p w14:paraId="2E37242B" w14:textId="77777777" w:rsidR="00760BAD" w:rsidRPr="002518F8" w:rsidRDefault="00760BAD" w:rsidP="00760BAD">
      <w:pPr>
        <w:numPr>
          <w:ilvl w:val="0"/>
          <w:numId w:val="54"/>
        </w:numPr>
        <w:spacing w:before="120" w:after="120" w:line="240" w:lineRule="auto"/>
        <w:jc w:val="both"/>
        <w:rPr>
          <w:rFonts w:ascii="Kohinoor Devanagari" w:hAnsi="Kohinoor Devanagari" w:cs="Kohinoor Devanagari"/>
          <w:sz w:val="22"/>
          <w:szCs w:val="22"/>
        </w:rPr>
      </w:pPr>
      <w:r w:rsidRPr="002518F8">
        <w:rPr>
          <w:rFonts w:ascii="Kohinoor Devanagari" w:hAnsi="Kohinoor Devanagari" w:cs="Kohinoor Devanagari"/>
          <w:sz w:val="22"/>
          <w:szCs w:val="22"/>
        </w:rPr>
        <w:t>Provide public oversight of contractual obligations related to revenues, taxation, and social/environmental commitments.</w:t>
      </w:r>
    </w:p>
    <w:p w14:paraId="14735E44" w14:textId="77777777" w:rsidR="00760BAD" w:rsidRPr="002518F8" w:rsidRDefault="00760BAD" w:rsidP="00760BAD">
      <w:pPr>
        <w:numPr>
          <w:ilvl w:val="0"/>
          <w:numId w:val="54"/>
        </w:numPr>
        <w:spacing w:before="120" w:after="120" w:line="240" w:lineRule="auto"/>
        <w:jc w:val="both"/>
        <w:rPr>
          <w:rFonts w:ascii="Kohinoor Devanagari" w:hAnsi="Kohinoor Devanagari" w:cs="Kohinoor Devanagari"/>
          <w:sz w:val="22"/>
          <w:szCs w:val="22"/>
        </w:rPr>
      </w:pPr>
      <w:r w:rsidRPr="002518F8">
        <w:rPr>
          <w:rFonts w:ascii="Kohinoor Devanagari" w:hAnsi="Kohinoor Devanagari" w:cs="Kohinoor Devanagari"/>
          <w:sz w:val="22"/>
          <w:szCs w:val="22"/>
        </w:rPr>
        <w:t>Ensure compliance with the EITI Standard 2023, which requires the publication of all contracts and licenses awarded or amended since January 1, 2021.</w:t>
      </w:r>
    </w:p>
    <w:p w14:paraId="28F4059C" w14:textId="77777777" w:rsidR="00760BAD" w:rsidRPr="00A3573B" w:rsidRDefault="00760BAD" w:rsidP="00760BAD">
      <w:pPr>
        <w:rPr>
          <w:rFonts w:ascii="Kohinoor Devanagari" w:hAnsi="Kohinoor Devanagari" w:cs="Kohinoor Devanagari"/>
          <w:b/>
          <w:bCs/>
          <w:sz w:val="22"/>
          <w:szCs w:val="22"/>
        </w:rPr>
      </w:pPr>
      <w:r w:rsidRPr="00A3573B">
        <w:rPr>
          <w:rFonts w:ascii="Kohinoor Devanagari" w:hAnsi="Kohinoor Devanagari" w:cs="Kohinoor Devanagari"/>
          <w:b/>
          <w:bCs/>
          <w:sz w:val="22"/>
          <w:szCs w:val="22"/>
        </w:rPr>
        <w:t>Data Disclosure Requirements</w:t>
      </w:r>
    </w:p>
    <w:tbl>
      <w:tblPr>
        <w:tblStyle w:val="TableGrid"/>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310"/>
        <w:gridCol w:w="1626"/>
        <w:gridCol w:w="1348"/>
        <w:gridCol w:w="1486"/>
        <w:gridCol w:w="1104"/>
        <w:gridCol w:w="1277"/>
        <w:gridCol w:w="1187"/>
      </w:tblGrid>
      <w:tr w:rsidR="00845DCF" w:rsidRPr="00845DCF" w14:paraId="65F739AF" w14:textId="77777777" w:rsidTr="00845DCF">
        <w:trPr>
          <w:tblHeader/>
        </w:trPr>
        <w:tc>
          <w:tcPr>
            <w:tcW w:w="0" w:type="auto"/>
            <w:shd w:val="clear" w:color="auto" w:fill="748A96"/>
            <w:hideMark/>
          </w:tcPr>
          <w:p w14:paraId="34880046" w14:textId="77777777" w:rsidR="00760BAD" w:rsidRPr="00C52386" w:rsidRDefault="00760BAD" w:rsidP="0092022E">
            <w:pPr>
              <w:jc w:val="center"/>
              <w:rPr>
                <w:rFonts w:ascii="Calibri" w:hAnsi="Calibri" w:cs="Calibri"/>
                <w:b/>
                <w:bCs/>
                <w:color w:val="FFFFFF" w:themeColor="background1"/>
                <w:sz w:val="20"/>
                <w:szCs w:val="20"/>
              </w:rPr>
            </w:pPr>
            <w:r w:rsidRPr="00C52386">
              <w:rPr>
                <w:rStyle w:val="Strong"/>
                <w:rFonts w:ascii="Calibri" w:hAnsi="Calibri" w:cs="Calibri"/>
                <w:color w:val="FFFFFF" w:themeColor="background1"/>
                <w:sz w:val="20"/>
                <w:szCs w:val="20"/>
              </w:rPr>
              <w:t>Data Type</w:t>
            </w:r>
          </w:p>
        </w:tc>
        <w:tc>
          <w:tcPr>
            <w:tcW w:w="0" w:type="auto"/>
            <w:shd w:val="clear" w:color="auto" w:fill="748A96"/>
            <w:hideMark/>
          </w:tcPr>
          <w:p w14:paraId="607F45A9" w14:textId="77777777" w:rsidR="00760BAD" w:rsidRPr="00C52386" w:rsidRDefault="00760BAD" w:rsidP="0092022E">
            <w:pPr>
              <w:jc w:val="center"/>
              <w:rPr>
                <w:rFonts w:ascii="Calibri" w:hAnsi="Calibri" w:cs="Calibri"/>
                <w:b/>
                <w:bCs/>
                <w:color w:val="FFFFFF" w:themeColor="background1"/>
                <w:sz w:val="20"/>
                <w:szCs w:val="20"/>
              </w:rPr>
            </w:pPr>
            <w:r w:rsidRPr="00C52386">
              <w:rPr>
                <w:rStyle w:val="Strong"/>
                <w:rFonts w:ascii="Calibri" w:hAnsi="Calibri" w:cs="Calibri"/>
                <w:color w:val="FFFFFF" w:themeColor="background1"/>
                <w:sz w:val="20"/>
                <w:szCs w:val="20"/>
              </w:rPr>
              <w:t>Description</w:t>
            </w:r>
          </w:p>
        </w:tc>
        <w:tc>
          <w:tcPr>
            <w:tcW w:w="0" w:type="auto"/>
            <w:shd w:val="clear" w:color="auto" w:fill="748A96"/>
            <w:hideMark/>
          </w:tcPr>
          <w:p w14:paraId="0DA04222" w14:textId="77777777" w:rsidR="00760BAD" w:rsidRPr="00C52386" w:rsidRDefault="00760BAD" w:rsidP="0092022E">
            <w:pPr>
              <w:jc w:val="center"/>
              <w:rPr>
                <w:rFonts w:ascii="Calibri" w:hAnsi="Calibri" w:cs="Calibri"/>
                <w:b/>
                <w:bCs/>
                <w:color w:val="FFFFFF" w:themeColor="background1"/>
                <w:sz w:val="20"/>
                <w:szCs w:val="20"/>
              </w:rPr>
            </w:pPr>
            <w:r w:rsidRPr="00C52386">
              <w:rPr>
                <w:rStyle w:val="Strong"/>
                <w:rFonts w:ascii="Calibri" w:hAnsi="Calibri" w:cs="Calibri"/>
                <w:color w:val="FFFFFF" w:themeColor="background1"/>
                <w:sz w:val="20"/>
                <w:szCs w:val="20"/>
              </w:rPr>
              <w:t>Responsible Entities</w:t>
            </w:r>
          </w:p>
        </w:tc>
        <w:tc>
          <w:tcPr>
            <w:tcW w:w="0" w:type="auto"/>
            <w:shd w:val="clear" w:color="auto" w:fill="748A96"/>
            <w:hideMark/>
          </w:tcPr>
          <w:p w14:paraId="5815CEBE" w14:textId="77777777" w:rsidR="00760BAD" w:rsidRPr="00C52386" w:rsidRDefault="00760BAD" w:rsidP="0092022E">
            <w:pPr>
              <w:jc w:val="center"/>
              <w:rPr>
                <w:rFonts w:ascii="Calibri" w:hAnsi="Calibri" w:cs="Calibri"/>
                <w:b/>
                <w:bCs/>
                <w:color w:val="FFFFFF" w:themeColor="background1"/>
                <w:sz w:val="20"/>
                <w:szCs w:val="20"/>
              </w:rPr>
            </w:pPr>
            <w:r w:rsidRPr="00C52386">
              <w:rPr>
                <w:rStyle w:val="Strong"/>
                <w:rFonts w:ascii="Calibri" w:hAnsi="Calibri" w:cs="Calibri"/>
                <w:color w:val="FFFFFF" w:themeColor="background1"/>
                <w:sz w:val="20"/>
                <w:szCs w:val="20"/>
              </w:rPr>
              <w:t>Disaggregation Level</w:t>
            </w:r>
          </w:p>
        </w:tc>
        <w:tc>
          <w:tcPr>
            <w:tcW w:w="0" w:type="auto"/>
            <w:shd w:val="clear" w:color="auto" w:fill="748A96"/>
            <w:hideMark/>
          </w:tcPr>
          <w:p w14:paraId="57A9384C" w14:textId="77777777" w:rsidR="00760BAD" w:rsidRPr="00C52386" w:rsidRDefault="00760BAD" w:rsidP="0092022E">
            <w:pPr>
              <w:jc w:val="center"/>
              <w:rPr>
                <w:rFonts w:ascii="Calibri" w:hAnsi="Calibri" w:cs="Calibri"/>
                <w:b/>
                <w:bCs/>
                <w:color w:val="FFFFFF" w:themeColor="background1"/>
                <w:sz w:val="20"/>
                <w:szCs w:val="20"/>
              </w:rPr>
            </w:pPr>
            <w:r w:rsidRPr="00C52386">
              <w:rPr>
                <w:rStyle w:val="Strong"/>
                <w:rFonts w:ascii="Calibri" w:hAnsi="Calibri" w:cs="Calibri"/>
                <w:color w:val="FFFFFF" w:themeColor="background1"/>
                <w:sz w:val="20"/>
                <w:szCs w:val="20"/>
              </w:rPr>
              <w:t>Frequency</w:t>
            </w:r>
          </w:p>
        </w:tc>
        <w:tc>
          <w:tcPr>
            <w:tcW w:w="0" w:type="auto"/>
            <w:shd w:val="clear" w:color="auto" w:fill="748A96"/>
            <w:hideMark/>
          </w:tcPr>
          <w:p w14:paraId="11E19D52" w14:textId="77777777" w:rsidR="00760BAD" w:rsidRPr="00C52386" w:rsidRDefault="00760BAD" w:rsidP="0092022E">
            <w:pPr>
              <w:jc w:val="center"/>
              <w:rPr>
                <w:rFonts w:ascii="Calibri" w:hAnsi="Calibri" w:cs="Calibri"/>
                <w:b/>
                <w:bCs/>
                <w:color w:val="FFFFFF" w:themeColor="background1"/>
                <w:sz w:val="20"/>
                <w:szCs w:val="20"/>
              </w:rPr>
            </w:pPr>
            <w:r w:rsidRPr="00C52386">
              <w:rPr>
                <w:rStyle w:val="Strong"/>
                <w:rFonts w:ascii="Calibri" w:hAnsi="Calibri" w:cs="Calibri"/>
                <w:color w:val="FFFFFF" w:themeColor="background1"/>
                <w:sz w:val="20"/>
                <w:szCs w:val="20"/>
              </w:rPr>
              <w:t>Format</w:t>
            </w:r>
          </w:p>
        </w:tc>
        <w:tc>
          <w:tcPr>
            <w:tcW w:w="0" w:type="auto"/>
            <w:shd w:val="clear" w:color="auto" w:fill="748A96"/>
            <w:hideMark/>
          </w:tcPr>
          <w:p w14:paraId="175D00DF" w14:textId="77777777" w:rsidR="00760BAD" w:rsidRPr="00C52386" w:rsidRDefault="00760BAD" w:rsidP="0092022E">
            <w:pPr>
              <w:jc w:val="center"/>
              <w:rPr>
                <w:rFonts w:ascii="Calibri" w:hAnsi="Calibri" w:cs="Calibri"/>
                <w:b/>
                <w:bCs/>
                <w:color w:val="FFFFFF" w:themeColor="background1"/>
                <w:sz w:val="20"/>
                <w:szCs w:val="20"/>
              </w:rPr>
            </w:pPr>
            <w:r w:rsidRPr="00C52386">
              <w:rPr>
                <w:rStyle w:val="Strong"/>
                <w:rFonts w:ascii="Calibri" w:hAnsi="Calibri" w:cs="Calibri"/>
                <w:color w:val="FFFFFF" w:themeColor="background1"/>
                <w:sz w:val="20"/>
                <w:szCs w:val="20"/>
              </w:rPr>
              <w:t>Publication Channels</w:t>
            </w:r>
          </w:p>
        </w:tc>
      </w:tr>
      <w:tr w:rsidR="00760BAD" w:rsidRPr="00504EA4" w14:paraId="46A3AB8A" w14:textId="77777777" w:rsidTr="0092022E">
        <w:tc>
          <w:tcPr>
            <w:tcW w:w="0" w:type="auto"/>
            <w:hideMark/>
          </w:tcPr>
          <w:p w14:paraId="586CE423" w14:textId="77777777" w:rsidR="00760BAD" w:rsidRPr="00504EA4" w:rsidRDefault="00760BAD" w:rsidP="0092022E">
            <w:pPr>
              <w:rPr>
                <w:rFonts w:ascii="Calibri" w:hAnsi="Calibri" w:cs="Calibri"/>
                <w:sz w:val="20"/>
                <w:szCs w:val="20"/>
              </w:rPr>
            </w:pPr>
            <w:r w:rsidRPr="00504EA4">
              <w:rPr>
                <w:rStyle w:val="Strong"/>
                <w:rFonts w:ascii="Calibri" w:hAnsi="Calibri" w:cs="Calibri"/>
                <w:sz w:val="20"/>
                <w:szCs w:val="20"/>
              </w:rPr>
              <w:t>Government Policy on Contract Disclosure</w:t>
            </w:r>
          </w:p>
        </w:tc>
        <w:tc>
          <w:tcPr>
            <w:tcW w:w="0" w:type="auto"/>
            <w:hideMark/>
          </w:tcPr>
          <w:p w14:paraId="6478EC54" w14:textId="77777777" w:rsidR="00760BAD" w:rsidRPr="00504EA4" w:rsidRDefault="00760BAD" w:rsidP="0092022E">
            <w:pPr>
              <w:rPr>
                <w:rFonts w:ascii="Calibri" w:hAnsi="Calibri" w:cs="Calibri"/>
                <w:sz w:val="20"/>
                <w:szCs w:val="20"/>
              </w:rPr>
            </w:pPr>
            <w:r w:rsidRPr="00504EA4">
              <w:rPr>
                <w:rFonts w:ascii="Calibri" w:hAnsi="Calibri" w:cs="Calibri"/>
                <w:sz w:val="20"/>
                <w:szCs w:val="20"/>
              </w:rPr>
              <w:t>Iraq’s policy on publishing extractive contracts and licenses.</w:t>
            </w:r>
          </w:p>
        </w:tc>
        <w:tc>
          <w:tcPr>
            <w:tcW w:w="0" w:type="auto"/>
            <w:hideMark/>
          </w:tcPr>
          <w:p w14:paraId="0E0F35A6" w14:textId="77777777" w:rsidR="00760BAD" w:rsidRPr="00504EA4" w:rsidRDefault="00760BAD" w:rsidP="0092022E">
            <w:pPr>
              <w:rPr>
                <w:rFonts w:ascii="Calibri" w:hAnsi="Calibri" w:cs="Calibri"/>
                <w:sz w:val="20"/>
                <w:szCs w:val="20"/>
              </w:rPr>
            </w:pPr>
            <w:r w:rsidRPr="00504EA4">
              <w:rPr>
                <w:rFonts w:ascii="Calibri" w:hAnsi="Calibri" w:cs="Calibri"/>
                <w:sz w:val="20"/>
                <w:szCs w:val="20"/>
              </w:rPr>
              <w:t>Ministry of Oil, Ministry of Industry and Minerals, Ministry of Natural Resources (KRG)</w:t>
            </w:r>
          </w:p>
        </w:tc>
        <w:tc>
          <w:tcPr>
            <w:tcW w:w="0" w:type="auto"/>
            <w:hideMark/>
          </w:tcPr>
          <w:p w14:paraId="7889E0B1" w14:textId="77777777" w:rsidR="00760BAD" w:rsidRPr="00504EA4" w:rsidRDefault="00760BAD" w:rsidP="0092022E">
            <w:pPr>
              <w:rPr>
                <w:rFonts w:ascii="Calibri" w:hAnsi="Calibri" w:cs="Calibri"/>
                <w:sz w:val="20"/>
                <w:szCs w:val="20"/>
              </w:rPr>
            </w:pPr>
            <w:r w:rsidRPr="00504EA4">
              <w:rPr>
                <w:rStyle w:val="Strong"/>
                <w:rFonts w:ascii="Calibri" w:hAnsi="Calibri" w:cs="Calibri"/>
                <w:b w:val="0"/>
                <w:bCs w:val="0"/>
                <w:sz w:val="20"/>
                <w:szCs w:val="20"/>
              </w:rPr>
              <w:t>National and KRG levels</w:t>
            </w:r>
          </w:p>
        </w:tc>
        <w:tc>
          <w:tcPr>
            <w:tcW w:w="0" w:type="auto"/>
            <w:hideMark/>
          </w:tcPr>
          <w:p w14:paraId="5C7DD9C4" w14:textId="77777777" w:rsidR="00760BAD" w:rsidRPr="00504EA4" w:rsidRDefault="00760BAD" w:rsidP="0092022E">
            <w:pPr>
              <w:rPr>
                <w:rFonts w:ascii="Calibri" w:hAnsi="Calibri" w:cs="Calibri"/>
                <w:sz w:val="20"/>
                <w:szCs w:val="20"/>
              </w:rPr>
            </w:pPr>
            <w:r w:rsidRPr="00504EA4">
              <w:rPr>
                <w:rStyle w:val="Strong"/>
                <w:rFonts w:ascii="Calibri" w:hAnsi="Calibri" w:cs="Calibri"/>
                <w:b w:val="0"/>
                <w:bCs w:val="0"/>
                <w:sz w:val="20"/>
                <w:szCs w:val="20"/>
              </w:rPr>
              <w:t>Annually &amp; Upon Update</w:t>
            </w:r>
          </w:p>
        </w:tc>
        <w:tc>
          <w:tcPr>
            <w:tcW w:w="0" w:type="auto"/>
            <w:hideMark/>
          </w:tcPr>
          <w:p w14:paraId="63180A98" w14:textId="77777777" w:rsidR="00760BAD" w:rsidRPr="00504EA4" w:rsidRDefault="00760BAD" w:rsidP="0092022E">
            <w:pPr>
              <w:rPr>
                <w:rFonts w:ascii="Calibri" w:hAnsi="Calibri" w:cs="Calibri"/>
                <w:sz w:val="20"/>
                <w:szCs w:val="20"/>
              </w:rPr>
            </w:pPr>
            <w:r w:rsidRPr="006A6D6A">
              <w:rPr>
                <w:rFonts w:ascii="Calibri" w:hAnsi="Calibri" w:cs="Calibri"/>
                <w:b/>
                <w:bCs/>
                <w:sz w:val="20"/>
                <w:szCs w:val="20"/>
              </w:rPr>
              <w:t>HTML, CSV</w:t>
            </w:r>
            <w:r w:rsidRPr="006A6D6A">
              <w:rPr>
                <w:rFonts w:ascii="Calibri" w:hAnsi="Calibri" w:cs="Calibri"/>
                <w:sz w:val="20"/>
                <w:szCs w:val="20"/>
              </w:rPr>
              <w:t xml:space="preserve"> (PDF optional)</w:t>
            </w:r>
          </w:p>
        </w:tc>
        <w:tc>
          <w:tcPr>
            <w:tcW w:w="0" w:type="auto"/>
            <w:hideMark/>
          </w:tcPr>
          <w:p w14:paraId="2C5B539E" w14:textId="76666AE9" w:rsidR="00760BAD" w:rsidRPr="00504EA4" w:rsidRDefault="00760BAD" w:rsidP="0092022E">
            <w:pPr>
              <w:rPr>
                <w:rFonts w:ascii="Calibri" w:hAnsi="Calibri" w:cs="Calibri"/>
                <w:sz w:val="20"/>
                <w:szCs w:val="20"/>
              </w:rPr>
            </w:pPr>
            <w:r w:rsidRPr="00504EA4">
              <w:rPr>
                <w:rFonts w:ascii="Calibri" w:hAnsi="Calibri" w:cs="Calibri"/>
                <w:sz w:val="20"/>
                <w:szCs w:val="20"/>
              </w:rPr>
              <w:t xml:space="preserve">Ministry websites, </w:t>
            </w:r>
            <w:r w:rsidR="0029544A">
              <w:rPr>
                <w:rFonts w:ascii="Calibri" w:eastAsia="Times New Roman" w:hAnsi="Calibri" w:cs="Calibri"/>
                <w:color w:val="0D0D0D"/>
                <w:kern w:val="0"/>
                <w:sz w:val="20"/>
                <w:szCs w:val="20"/>
                <w:lang w:eastAsia="fr-FR"/>
                <w14:ligatures w14:val="none"/>
              </w:rPr>
              <w:t>NRTC</w:t>
            </w:r>
            <w:r w:rsidRPr="00504EA4">
              <w:rPr>
                <w:rFonts w:ascii="Calibri" w:hAnsi="Calibri" w:cs="Calibri"/>
                <w:sz w:val="20"/>
                <w:szCs w:val="20"/>
              </w:rPr>
              <w:t xml:space="preserve"> Iraq portal</w:t>
            </w:r>
          </w:p>
        </w:tc>
      </w:tr>
      <w:tr w:rsidR="00760BAD" w:rsidRPr="00504EA4" w14:paraId="0FF4DF6D" w14:textId="77777777" w:rsidTr="0092022E">
        <w:tc>
          <w:tcPr>
            <w:tcW w:w="0" w:type="auto"/>
            <w:hideMark/>
          </w:tcPr>
          <w:p w14:paraId="0FF8B07E" w14:textId="77777777" w:rsidR="00760BAD" w:rsidRPr="00504EA4" w:rsidRDefault="00760BAD" w:rsidP="0092022E">
            <w:pPr>
              <w:rPr>
                <w:rFonts w:ascii="Calibri" w:hAnsi="Calibri" w:cs="Calibri"/>
                <w:sz w:val="20"/>
                <w:szCs w:val="20"/>
              </w:rPr>
            </w:pPr>
            <w:r w:rsidRPr="00504EA4">
              <w:rPr>
                <w:rStyle w:val="Strong"/>
                <w:rFonts w:ascii="Calibri" w:hAnsi="Calibri" w:cs="Calibri"/>
                <w:sz w:val="20"/>
                <w:szCs w:val="20"/>
              </w:rPr>
              <w:t>Contracts and Licenses Register</w:t>
            </w:r>
          </w:p>
        </w:tc>
        <w:tc>
          <w:tcPr>
            <w:tcW w:w="0" w:type="auto"/>
            <w:hideMark/>
          </w:tcPr>
          <w:p w14:paraId="52977FB4" w14:textId="77777777" w:rsidR="00760BAD" w:rsidRPr="00504EA4" w:rsidRDefault="00760BAD" w:rsidP="0092022E">
            <w:pPr>
              <w:rPr>
                <w:rFonts w:ascii="Calibri" w:hAnsi="Calibri" w:cs="Calibri"/>
                <w:sz w:val="20"/>
                <w:szCs w:val="20"/>
              </w:rPr>
            </w:pPr>
            <w:r w:rsidRPr="00504EA4">
              <w:rPr>
                <w:rFonts w:ascii="Calibri" w:hAnsi="Calibri" w:cs="Calibri"/>
                <w:sz w:val="20"/>
                <w:szCs w:val="20"/>
              </w:rPr>
              <w:t>Comprehensive and regularly updated list of all oil, gas, and mining contracts/</w:t>
            </w:r>
          </w:p>
          <w:p w14:paraId="190B037F" w14:textId="77777777" w:rsidR="00760BAD" w:rsidRPr="00504EA4" w:rsidRDefault="00760BAD" w:rsidP="0092022E">
            <w:pPr>
              <w:rPr>
                <w:rFonts w:ascii="Calibri" w:hAnsi="Calibri" w:cs="Calibri"/>
                <w:sz w:val="20"/>
                <w:szCs w:val="20"/>
              </w:rPr>
            </w:pPr>
            <w:r w:rsidRPr="00504EA4">
              <w:rPr>
                <w:rFonts w:ascii="Calibri" w:hAnsi="Calibri" w:cs="Calibri"/>
                <w:sz w:val="20"/>
                <w:szCs w:val="20"/>
              </w:rPr>
              <w:t>licenses</w:t>
            </w:r>
          </w:p>
        </w:tc>
        <w:tc>
          <w:tcPr>
            <w:tcW w:w="0" w:type="auto"/>
            <w:hideMark/>
          </w:tcPr>
          <w:p w14:paraId="5691D037" w14:textId="77777777" w:rsidR="00760BAD" w:rsidRPr="00504EA4" w:rsidRDefault="00760BAD" w:rsidP="0092022E">
            <w:pPr>
              <w:rPr>
                <w:rFonts w:ascii="Calibri" w:hAnsi="Calibri" w:cs="Calibri"/>
                <w:sz w:val="20"/>
                <w:szCs w:val="20"/>
              </w:rPr>
            </w:pPr>
            <w:r w:rsidRPr="00504EA4">
              <w:rPr>
                <w:rFonts w:ascii="Calibri" w:hAnsi="Calibri" w:cs="Calibri"/>
                <w:sz w:val="20"/>
                <w:szCs w:val="20"/>
              </w:rPr>
              <w:t>Ministry of Oil, Ministry of Industry and Minerals, Ministry of Natural Resources (KRG)</w:t>
            </w:r>
          </w:p>
        </w:tc>
        <w:tc>
          <w:tcPr>
            <w:tcW w:w="0" w:type="auto"/>
            <w:hideMark/>
          </w:tcPr>
          <w:p w14:paraId="32EDA6D9" w14:textId="77777777" w:rsidR="00760BAD" w:rsidRPr="00504EA4" w:rsidRDefault="00760BAD" w:rsidP="0092022E">
            <w:pPr>
              <w:rPr>
                <w:rFonts w:ascii="Calibri" w:hAnsi="Calibri" w:cs="Calibri"/>
                <w:sz w:val="20"/>
                <w:szCs w:val="20"/>
              </w:rPr>
            </w:pPr>
            <w:r w:rsidRPr="00504EA4">
              <w:rPr>
                <w:rStyle w:val="Strong"/>
                <w:rFonts w:ascii="Calibri" w:hAnsi="Calibri" w:cs="Calibri"/>
                <w:b w:val="0"/>
                <w:bCs w:val="0"/>
                <w:sz w:val="20"/>
                <w:szCs w:val="20"/>
              </w:rPr>
              <w:t>By contract, company, site, and date</w:t>
            </w:r>
          </w:p>
        </w:tc>
        <w:tc>
          <w:tcPr>
            <w:tcW w:w="0" w:type="auto"/>
            <w:hideMark/>
          </w:tcPr>
          <w:p w14:paraId="622696A4" w14:textId="77777777" w:rsidR="00760BAD" w:rsidRPr="00504EA4" w:rsidRDefault="00760BAD" w:rsidP="0092022E">
            <w:pPr>
              <w:rPr>
                <w:rFonts w:ascii="Calibri" w:hAnsi="Calibri" w:cs="Calibri"/>
                <w:sz w:val="20"/>
                <w:szCs w:val="20"/>
              </w:rPr>
            </w:pPr>
            <w:r w:rsidRPr="00504EA4">
              <w:rPr>
                <w:rStyle w:val="Strong"/>
                <w:rFonts w:ascii="Calibri" w:hAnsi="Calibri" w:cs="Calibri"/>
                <w:b w:val="0"/>
                <w:bCs w:val="0"/>
                <w:sz w:val="20"/>
                <w:szCs w:val="20"/>
              </w:rPr>
              <w:t>Quarterly &amp; Upon Update</w:t>
            </w:r>
          </w:p>
        </w:tc>
        <w:tc>
          <w:tcPr>
            <w:tcW w:w="0" w:type="auto"/>
            <w:hideMark/>
          </w:tcPr>
          <w:p w14:paraId="7D6DFA2D" w14:textId="77777777" w:rsidR="00760BAD" w:rsidRPr="00504EA4" w:rsidRDefault="00760BAD" w:rsidP="0092022E">
            <w:pPr>
              <w:rPr>
                <w:rFonts w:ascii="Calibri" w:hAnsi="Calibri" w:cs="Calibri"/>
                <w:sz w:val="20"/>
                <w:szCs w:val="20"/>
              </w:rPr>
            </w:pPr>
            <w:r w:rsidRPr="00042CD1">
              <w:rPr>
                <w:rFonts w:ascii="Calibri" w:hAnsi="Calibri" w:cs="Calibri"/>
                <w:b/>
                <w:bCs/>
                <w:sz w:val="20"/>
                <w:szCs w:val="20"/>
              </w:rPr>
              <w:t>CSV, XML</w:t>
            </w:r>
          </w:p>
        </w:tc>
        <w:tc>
          <w:tcPr>
            <w:tcW w:w="0" w:type="auto"/>
            <w:hideMark/>
          </w:tcPr>
          <w:p w14:paraId="7F238010" w14:textId="4210862A" w:rsidR="00760BAD" w:rsidRPr="00504EA4" w:rsidRDefault="00760BAD" w:rsidP="0092022E">
            <w:pPr>
              <w:rPr>
                <w:rFonts w:ascii="Calibri" w:hAnsi="Calibri" w:cs="Calibri"/>
                <w:sz w:val="20"/>
                <w:szCs w:val="20"/>
              </w:rPr>
            </w:pPr>
            <w:r w:rsidRPr="00504EA4">
              <w:rPr>
                <w:rFonts w:ascii="Calibri" w:hAnsi="Calibri" w:cs="Calibri"/>
                <w:sz w:val="20"/>
                <w:szCs w:val="20"/>
              </w:rPr>
              <w:t xml:space="preserve">Ministry websites, </w:t>
            </w:r>
            <w:r w:rsidR="0029544A">
              <w:rPr>
                <w:rFonts w:ascii="Calibri" w:eastAsia="Times New Roman" w:hAnsi="Calibri" w:cs="Calibri"/>
                <w:color w:val="0D0D0D"/>
                <w:kern w:val="0"/>
                <w:sz w:val="20"/>
                <w:szCs w:val="20"/>
                <w:lang w:eastAsia="fr-FR"/>
                <w14:ligatures w14:val="none"/>
              </w:rPr>
              <w:t>NRTC</w:t>
            </w:r>
            <w:r w:rsidRPr="00504EA4">
              <w:rPr>
                <w:rFonts w:ascii="Calibri" w:hAnsi="Calibri" w:cs="Calibri"/>
                <w:sz w:val="20"/>
                <w:szCs w:val="20"/>
              </w:rPr>
              <w:t xml:space="preserve"> Iraq portal</w:t>
            </w:r>
          </w:p>
        </w:tc>
      </w:tr>
      <w:tr w:rsidR="00760BAD" w:rsidRPr="00504EA4" w14:paraId="7E4B32E4" w14:textId="77777777" w:rsidTr="0092022E">
        <w:tc>
          <w:tcPr>
            <w:tcW w:w="0" w:type="auto"/>
            <w:hideMark/>
          </w:tcPr>
          <w:p w14:paraId="402C0495" w14:textId="77777777" w:rsidR="00760BAD" w:rsidRPr="00504EA4" w:rsidRDefault="00760BAD" w:rsidP="0092022E">
            <w:pPr>
              <w:rPr>
                <w:rFonts w:ascii="Calibri" w:hAnsi="Calibri" w:cs="Calibri"/>
                <w:sz w:val="20"/>
                <w:szCs w:val="20"/>
              </w:rPr>
            </w:pPr>
            <w:r w:rsidRPr="00504EA4">
              <w:rPr>
                <w:rStyle w:val="Strong"/>
                <w:rFonts w:ascii="Calibri" w:hAnsi="Calibri" w:cs="Calibri"/>
                <w:sz w:val="20"/>
                <w:szCs w:val="20"/>
              </w:rPr>
              <w:t>Full Text of Contracts</w:t>
            </w:r>
          </w:p>
        </w:tc>
        <w:tc>
          <w:tcPr>
            <w:tcW w:w="0" w:type="auto"/>
            <w:hideMark/>
          </w:tcPr>
          <w:p w14:paraId="73B89381" w14:textId="77777777" w:rsidR="00760BAD" w:rsidRPr="00504EA4" w:rsidRDefault="00760BAD" w:rsidP="0092022E">
            <w:pPr>
              <w:rPr>
                <w:rFonts w:ascii="Calibri" w:hAnsi="Calibri" w:cs="Calibri"/>
                <w:sz w:val="20"/>
                <w:szCs w:val="20"/>
              </w:rPr>
            </w:pPr>
            <w:r w:rsidRPr="00504EA4">
              <w:rPr>
                <w:rFonts w:ascii="Calibri" w:hAnsi="Calibri" w:cs="Calibri"/>
                <w:sz w:val="20"/>
                <w:szCs w:val="20"/>
              </w:rPr>
              <w:t>Complete texts of oil, gas, and mining contracts (including annexes, amendments, riders, fiscal terms).</w:t>
            </w:r>
          </w:p>
        </w:tc>
        <w:tc>
          <w:tcPr>
            <w:tcW w:w="0" w:type="auto"/>
            <w:hideMark/>
          </w:tcPr>
          <w:p w14:paraId="0AFFB1BB" w14:textId="77777777" w:rsidR="00760BAD" w:rsidRPr="00504EA4" w:rsidRDefault="00760BAD" w:rsidP="0092022E">
            <w:pPr>
              <w:rPr>
                <w:rFonts w:ascii="Calibri" w:hAnsi="Calibri" w:cs="Calibri"/>
                <w:sz w:val="20"/>
                <w:szCs w:val="20"/>
              </w:rPr>
            </w:pPr>
            <w:r w:rsidRPr="00504EA4">
              <w:rPr>
                <w:rFonts w:ascii="Calibri" w:hAnsi="Calibri" w:cs="Calibri"/>
                <w:sz w:val="20"/>
                <w:szCs w:val="20"/>
              </w:rPr>
              <w:t>Ministry of Oil, Ministry of Industry and Minerals, Ministry of Natural Resources (KRG), SOEs</w:t>
            </w:r>
          </w:p>
        </w:tc>
        <w:tc>
          <w:tcPr>
            <w:tcW w:w="0" w:type="auto"/>
            <w:hideMark/>
          </w:tcPr>
          <w:p w14:paraId="0E51FBC6" w14:textId="77777777" w:rsidR="00760BAD" w:rsidRPr="00504EA4" w:rsidRDefault="00760BAD" w:rsidP="0092022E">
            <w:pPr>
              <w:rPr>
                <w:rFonts w:ascii="Calibri" w:hAnsi="Calibri" w:cs="Calibri"/>
                <w:sz w:val="20"/>
                <w:szCs w:val="20"/>
              </w:rPr>
            </w:pPr>
            <w:r w:rsidRPr="00504EA4">
              <w:rPr>
                <w:rStyle w:val="Strong"/>
                <w:rFonts w:ascii="Calibri" w:hAnsi="Calibri" w:cs="Calibri"/>
                <w:b w:val="0"/>
                <w:bCs w:val="0"/>
                <w:sz w:val="20"/>
                <w:szCs w:val="20"/>
              </w:rPr>
              <w:t>By contract and company</w:t>
            </w:r>
          </w:p>
        </w:tc>
        <w:tc>
          <w:tcPr>
            <w:tcW w:w="0" w:type="auto"/>
            <w:hideMark/>
          </w:tcPr>
          <w:p w14:paraId="7A348E2D" w14:textId="77777777" w:rsidR="00760BAD" w:rsidRPr="00504EA4" w:rsidRDefault="00760BAD" w:rsidP="0092022E">
            <w:pPr>
              <w:rPr>
                <w:rFonts w:ascii="Calibri" w:hAnsi="Calibri" w:cs="Calibri"/>
                <w:sz w:val="20"/>
                <w:szCs w:val="20"/>
              </w:rPr>
            </w:pPr>
            <w:r w:rsidRPr="00504EA4">
              <w:rPr>
                <w:rStyle w:val="Strong"/>
                <w:rFonts w:ascii="Calibri" w:hAnsi="Calibri" w:cs="Calibri"/>
                <w:b w:val="0"/>
                <w:bCs w:val="0"/>
                <w:sz w:val="20"/>
                <w:szCs w:val="20"/>
              </w:rPr>
              <w:t>Upon signing &amp; updates</w:t>
            </w:r>
          </w:p>
        </w:tc>
        <w:tc>
          <w:tcPr>
            <w:tcW w:w="0" w:type="auto"/>
            <w:hideMark/>
          </w:tcPr>
          <w:p w14:paraId="4D3F5DD7" w14:textId="77777777" w:rsidR="00760BAD" w:rsidRPr="00504EA4" w:rsidRDefault="00760BAD" w:rsidP="0092022E">
            <w:pPr>
              <w:rPr>
                <w:rFonts w:ascii="Calibri" w:hAnsi="Calibri" w:cs="Calibri"/>
                <w:sz w:val="20"/>
                <w:szCs w:val="20"/>
              </w:rPr>
            </w:pPr>
            <w:r w:rsidRPr="00042CD1">
              <w:rPr>
                <w:rFonts w:ascii="Calibri" w:hAnsi="Calibri" w:cs="Calibri"/>
                <w:b/>
                <w:bCs/>
                <w:sz w:val="20"/>
                <w:szCs w:val="20"/>
              </w:rPr>
              <w:t>PDF (searchable)</w:t>
            </w:r>
            <w:r w:rsidRPr="00042CD1">
              <w:rPr>
                <w:rFonts w:ascii="Calibri" w:hAnsi="Calibri" w:cs="Calibri"/>
                <w:sz w:val="20"/>
                <w:szCs w:val="20"/>
              </w:rPr>
              <w:t xml:space="preserve"> + summary in </w:t>
            </w:r>
            <w:r w:rsidRPr="00042CD1">
              <w:rPr>
                <w:rFonts w:ascii="Calibri" w:hAnsi="Calibri" w:cs="Calibri"/>
                <w:b/>
                <w:bCs/>
                <w:sz w:val="20"/>
                <w:szCs w:val="20"/>
              </w:rPr>
              <w:t>HTML</w:t>
            </w:r>
          </w:p>
        </w:tc>
        <w:tc>
          <w:tcPr>
            <w:tcW w:w="0" w:type="auto"/>
            <w:hideMark/>
          </w:tcPr>
          <w:p w14:paraId="12FFE6F0" w14:textId="53986132" w:rsidR="00760BAD" w:rsidRPr="00504EA4" w:rsidRDefault="0029544A" w:rsidP="0092022E">
            <w:pPr>
              <w:rPr>
                <w:rFonts w:ascii="Calibri" w:hAnsi="Calibri" w:cs="Calibri"/>
                <w:sz w:val="20"/>
                <w:szCs w:val="20"/>
              </w:rPr>
            </w:pPr>
            <w:r>
              <w:rPr>
                <w:rFonts w:ascii="Calibri" w:eastAsia="Times New Roman" w:hAnsi="Calibri" w:cs="Calibri"/>
                <w:color w:val="0D0D0D"/>
                <w:kern w:val="0"/>
                <w:sz w:val="20"/>
                <w:szCs w:val="20"/>
                <w:lang w:eastAsia="fr-FR"/>
                <w14:ligatures w14:val="none"/>
              </w:rPr>
              <w:t>NRTC</w:t>
            </w:r>
            <w:r w:rsidR="00760BAD" w:rsidRPr="00504EA4">
              <w:rPr>
                <w:rFonts w:ascii="Calibri" w:hAnsi="Calibri" w:cs="Calibri"/>
                <w:sz w:val="20"/>
                <w:szCs w:val="20"/>
              </w:rPr>
              <w:t xml:space="preserve"> Iraq portal, Ministry websites</w:t>
            </w:r>
          </w:p>
        </w:tc>
      </w:tr>
    </w:tbl>
    <w:p w14:paraId="71962898" w14:textId="1628E125" w:rsidR="00750E6D" w:rsidRPr="001975FD" w:rsidRDefault="005F017B" w:rsidP="005F017B">
      <w:pPr>
        <w:pStyle w:val="Heading4"/>
        <w:spacing w:before="120" w:after="120"/>
        <w:rPr>
          <w:rFonts w:ascii="Kohinoor Devanagari" w:hAnsi="Kohinoor Devanagari" w:cs="Kohinoor Devanagari"/>
          <w:b/>
          <w:bCs/>
          <w:sz w:val="22"/>
          <w:szCs w:val="22"/>
        </w:rPr>
      </w:pPr>
      <w:r>
        <w:rPr>
          <w:rFonts w:ascii="Kohinoor Devanagari" w:hAnsi="Kohinoor Devanagari" w:cs="Kohinoor Devanagari"/>
          <w:b/>
          <w:bCs/>
          <w:sz w:val="22"/>
          <w:szCs w:val="22"/>
        </w:rPr>
        <w:t>2.3.</w:t>
      </w:r>
      <w:r w:rsidRPr="001975FD">
        <w:rPr>
          <w:rFonts w:ascii="Kohinoor Devanagari" w:hAnsi="Kohinoor Devanagari" w:cs="Kohinoor Devanagari"/>
          <w:b/>
          <w:bCs/>
          <w:sz w:val="22"/>
          <w:szCs w:val="22"/>
        </w:rPr>
        <w:t xml:space="preserve"> Environmental</w:t>
      </w:r>
      <w:r w:rsidR="00750E6D" w:rsidRPr="001975FD">
        <w:rPr>
          <w:rFonts w:ascii="Kohinoor Devanagari" w:hAnsi="Kohinoor Devanagari" w:cs="Kohinoor Devanagari"/>
          <w:b/>
          <w:bCs/>
          <w:sz w:val="22"/>
          <w:szCs w:val="22"/>
        </w:rPr>
        <w:t xml:space="preserve"> and Social Impact (Requirement 6.4)</w:t>
      </w:r>
    </w:p>
    <w:p w14:paraId="28A0539E" w14:textId="77777777" w:rsidR="00750E6D" w:rsidRPr="001975FD" w:rsidRDefault="00750E6D" w:rsidP="00750E6D">
      <w:pPr>
        <w:spacing w:before="120" w:after="120" w:line="240" w:lineRule="auto"/>
        <w:rPr>
          <w:rFonts w:ascii="Kohinoor Devanagari" w:hAnsi="Kohinoor Devanagari" w:cs="Kohinoor Devanagari"/>
          <w:b/>
          <w:bCs/>
          <w:sz w:val="22"/>
          <w:szCs w:val="22"/>
          <w:lang w:eastAsia="fr-FR"/>
        </w:rPr>
      </w:pPr>
      <w:r w:rsidRPr="001975FD">
        <w:rPr>
          <w:rFonts w:ascii="Kohinoor Devanagari" w:hAnsi="Kohinoor Devanagari" w:cs="Kohinoor Devanagari"/>
          <w:b/>
          <w:bCs/>
          <w:sz w:val="22"/>
          <w:szCs w:val="22"/>
          <w:lang w:eastAsia="fr-FR"/>
        </w:rPr>
        <w:t>Objective</w:t>
      </w:r>
    </w:p>
    <w:p w14:paraId="29B4ACBE" w14:textId="77777777" w:rsidR="00750E6D" w:rsidRPr="009348C9" w:rsidRDefault="00750E6D" w:rsidP="00750E6D">
      <w:pPr>
        <w:spacing w:before="120" w:after="120" w:line="240" w:lineRule="auto"/>
        <w:rPr>
          <w:rFonts w:ascii="Kohinoor Devanagari" w:hAnsi="Kohinoor Devanagari" w:cs="Kohinoor Devanagari"/>
          <w:sz w:val="22"/>
          <w:szCs w:val="22"/>
          <w:lang w:eastAsia="fr-FR"/>
        </w:rPr>
      </w:pPr>
      <w:r w:rsidRPr="001975FD">
        <w:rPr>
          <w:rFonts w:ascii="Kohinoor Devanagari" w:hAnsi="Kohinoor Devanagari" w:cs="Kohinoor Devanagari"/>
          <w:sz w:val="22"/>
          <w:szCs w:val="22"/>
          <w:lang w:eastAsia="fr-FR"/>
        </w:rPr>
        <w:t xml:space="preserve">This section ensures public access to information on the environmental and social impact of extractive industries in Iraq, covering both national and Kurdistan Regional </w:t>
      </w:r>
      <w:r w:rsidRPr="009348C9">
        <w:rPr>
          <w:rFonts w:ascii="Kohinoor Devanagari" w:hAnsi="Kohinoor Devanagari" w:cs="Kohinoor Devanagari"/>
          <w:sz w:val="22"/>
          <w:szCs w:val="22"/>
          <w:lang w:eastAsia="fr-FR"/>
        </w:rPr>
        <w:t>Government (KRG) levels. It mandates the disclosure of:</w:t>
      </w:r>
    </w:p>
    <w:p w14:paraId="1353AE6C" w14:textId="77777777" w:rsidR="00750E6D" w:rsidRPr="001975FD" w:rsidRDefault="00750E6D" w:rsidP="00750E6D">
      <w:pPr>
        <w:numPr>
          <w:ilvl w:val="0"/>
          <w:numId w:val="55"/>
        </w:numPr>
        <w:spacing w:before="120" w:after="120" w:line="240" w:lineRule="auto"/>
        <w:rPr>
          <w:rFonts w:ascii="Kohinoor Devanagari" w:hAnsi="Kohinoor Devanagari" w:cs="Kohinoor Devanagari"/>
          <w:sz w:val="22"/>
          <w:szCs w:val="22"/>
          <w:lang w:eastAsia="fr-FR"/>
        </w:rPr>
      </w:pPr>
      <w:r w:rsidRPr="001975FD">
        <w:rPr>
          <w:rFonts w:ascii="Kohinoor Devanagari" w:hAnsi="Kohinoor Devanagari" w:cs="Kohinoor Devanagari"/>
          <w:sz w:val="22"/>
          <w:szCs w:val="22"/>
          <w:lang w:eastAsia="fr-FR"/>
        </w:rPr>
        <w:t>Regulations and permits governing environmental and social impact assessments.</w:t>
      </w:r>
    </w:p>
    <w:p w14:paraId="0C571DF5" w14:textId="77777777" w:rsidR="00750E6D" w:rsidRPr="001975FD" w:rsidRDefault="00750E6D" w:rsidP="00750E6D">
      <w:pPr>
        <w:numPr>
          <w:ilvl w:val="0"/>
          <w:numId w:val="55"/>
        </w:numPr>
        <w:spacing w:before="120" w:after="120" w:line="240" w:lineRule="auto"/>
        <w:rPr>
          <w:rFonts w:ascii="Kohinoor Devanagari" w:hAnsi="Kohinoor Devanagari" w:cs="Kohinoor Devanagari"/>
          <w:sz w:val="22"/>
          <w:szCs w:val="22"/>
          <w:lang w:eastAsia="fr-FR"/>
        </w:rPr>
      </w:pPr>
      <w:r w:rsidRPr="001975FD">
        <w:rPr>
          <w:rFonts w:ascii="Kohinoor Devanagari" w:hAnsi="Kohinoor Devanagari" w:cs="Kohinoor Devanagari"/>
          <w:sz w:val="22"/>
          <w:szCs w:val="22"/>
          <w:lang w:eastAsia="fr-FR"/>
        </w:rPr>
        <w:t>Monitoring and enforcement of environmental regulations.</w:t>
      </w:r>
    </w:p>
    <w:p w14:paraId="052506BD" w14:textId="77777777" w:rsidR="00750E6D" w:rsidRPr="001975FD" w:rsidRDefault="00750E6D" w:rsidP="00750E6D">
      <w:pPr>
        <w:numPr>
          <w:ilvl w:val="0"/>
          <w:numId w:val="55"/>
        </w:numPr>
        <w:spacing w:before="120" w:after="120" w:line="240" w:lineRule="auto"/>
        <w:rPr>
          <w:rFonts w:ascii="Kohinoor Devanagari" w:hAnsi="Kohinoor Devanagari" w:cs="Kohinoor Devanagari"/>
          <w:sz w:val="22"/>
          <w:szCs w:val="22"/>
          <w:lang w:eastAsia="fr-FR"/>
        </w:rPr>
      </w:pPr>
      <w:r w:rsidRPr="001975FD">
        <w:rPr>
          <w:rFonts w:ascii="Kohinoor Devanagari" w:hAnsi="Kohinoor Devanagari" w:cs="Kohinoor Devanagari"/>
          <w:sz w:val="22"/>
          <w:szCs w:val="22"/>
          <w:lang w:eastAsia="fr-FR"/>
        </w:rPr>
        <w:t>Rehabilitation and remediation efforts for impacted areas.</w:t>
      </w:r>
    </w:p>
    <w:p w14:paraId="7880461E" w14:textId="77777777" w:rsidR="00750E6D" w:rsidRPr="001975FD" w:rsidRDefault="00750E6D" w:rsidP="00750E6D">
      <w:pPr>
        <w:numPr>
          <w:ilvl w:val="0"/>
          <w:numId w:val="55"/>
        </w:numPr>
        <w:spacing w:before="120" w:after="120" w:line="240" w:lineRule="auto"/>
        <w:rPr>
          <w:rFonts w:ascii="Kohinoor Devanagari" w:hAnsi="Kohinoor Devanagari" w:cs="Kohinoor Devanagari"/>
          <w:sz w:val="22"/>
          <w:szCs w:val="22"/>
          <w:lang w:eastAsia="fr-FR"/>
        </w:rPr>
      </w:pPr>
      <w:r w:rsidRPr="001975FD">
        <w:rPr>
          <w:rFonts w:ascii="Kohinoor Devanagari" w:hAnsi="Kohinoor Devanagari" w:cs="Kohinoor Devanagari"/>
          <w:sz w:val="22"/>
          <w:szCs w:val="22"/>
          <w:lang w:eastAsia="fr-FR"/>
        </w:rPr>
        <w:t>Social contributions and community development obligations.</w:t>
      </w:r>
    </w:p>
    <w:p w14:paraId="6C0ED559" w14:textId="77777777" w:rsidR="00750E6D" w:rsidRPr="001975FD" w:rsidRDefault="00750E6D" w:rsidP="00750E6D">
      <w:pPr>
        <w:spacing w:before="120" w:after="120" w:line="240" w:lineRule="auto"/>
        <w:rPr>
          <w:rFonts w:ascii="Kohinoor Devanagari" w:hAnsi="Kohinoor Devanagari" w:cs="Kohinoor Devanagari"/>
          <w:b/>
          <w:bCs/>
          <w:sz w:val="22"/>
          <w:szCs w:val="22"/>
          <w:lang w:val="fr-FR" w:eastAsia="fr-FR"/>
        </w:rPr>
      </w:pPr>
      <w:r w:rsidRPr="001975FD">
        <w:rPr>
          <w:rFonts w:ascii="Kohinoor Devanagari" w:hAnsi="Kohinoor Devanagari" w:cs="Kohinoor Devanagari"/>
          <w:b/>
          <w:bCs/>
          <w:sz w:val="22"/>
          <w:szCs w:val="22"/>
          <w:lang w:val="fr-FR" w:eastAsia="fr-FR"/>
        </w:rPr>
        <w:t xml:space="preserve">Data Disclosure </w:t>
      </w:r>
      <w:r w:rsidRPr="00A3573B">
        <w:rPr>
          <w:rFonts w:ascii="Kohinoor Devanagari" w:hAnsi="Kohinoor Devanagari" w:cs="Kohinoor Devanagari"/>
          <w:b/>
          <w:bCs/>
          <w:sz w:val="22"/>
          <w:szCs w:val="22"/>
          <w:lang w:val="fr-FR" w:eastAsia="fr-FR"/>
        </w:rPr>
        <w:t>Equipements</w:t>
      </w:r>
    </w:p>
    <w:tbl>
      <w:tblPr>
        <w:tblStyle w:val="TableGrid"/>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462"/>
        <w:gridCol w:w="1706"/>
        <w:gridCol w:w="1366"/>
        <w:gridCol w:w="1469"/>
        <w:gridCol w:w="1089"/>
        <w:gridCol w:w="962"/>
        <w:gridCol w:w="1284"/>
      </w:tblGrid>
      <w:tr w:rsidR="00845DCF" w:rsidRPr="00845DCF" w14:paraId="75B15E03" w14:textId="77777777" w:rsidTr="00845DCF">
        <w:trPr>
          <w:tblHeader/>
        </w:trPr>
        <w:tc>
          <w:tcPr>
            <w:tcW w:w="0" w:type="auto"/>
            <w:shd w:val="clear" w:color="auto" w:fill="748A96"/>
            <w:hideMark/>
          </w:tcPr>
          <w:p w14:paraId="101B9944" w14:textId="77777777" w:rsidR="00750E6D" w:rsidRPr="00C52386" w:rsidRDefault="00750E6D" w:rsidP="0092022E">
            <w:pPr>
              <w:spacing w:before="60" w:after="40"/>
              <w:rPr>
                <w:rFonts w:ascii="Calibri" w:hAnsi="Calibri" w:cs="Calibri"/>
                <w:b/>
                <w:bCs/>
                <w:color w:val="FFFFFF" w:themeColor="background1"/>
                <w:sz w:val="20"/>
                <w:szCs w:val="20"/>
                <w:lang w:eastAsia="fr-FR"/>
              </w:rPr>
            </w:pPr>
            <w:r w:rsidRPr="00C52386">
              <w:rPr>
                <w:rFonts w:ascii="Calibri" w:hAnsi="Calibri" w:cs="Calibri"/>
                <w:b/>
                <w:bCs/>
                <w:color w:val="FFFFFF" w:themeColor="background1"/>
                <w:sz w:val="20"/>
                <w:szCs w:val="20"/>
                <w:lang w:eastAsia="fr-FR"/>
              </w:rPr>
              <w:t>Data Type</w:t>
            </w:r>
          </w:p>
        </w:tc>
        <w:tc>
          <w:tcPr>
            <w:tcW w:w="0" w:type="auto"/>
            <w:shd w:val="clear" w:color="auto" w:fill="748A96"/>
            <w:hideMark/>
          </w:tcPr>
          <w:p w14:paraId="0DD388C4" w14:textId="77777777" w:rsidR="00750E6D" w:rsidRPr="00C52386" w:rsidRDefault="00750E6D" w:rsidP="0092022E">
            <w:pPr>
              <w:spacing w:before="60" w:after="40"/>
              <w:rPr>
                <w:rFonts w:ascii="Calibri" w:hAnsi="Calibri" w:cs="Calibri"/>
                <w:b/>
                <w:bCs/>
                <w:color w:val="FFFFFF" w:themeColor="background1"/>
                <w:sz w:val="20"/>
                <w:szCs w:val="20"/>
                <w:lang w:eastAsia="fr-FR"/>
              </w:rPr>
            </w:pPr>
            <w:r w:rsidRPr="00C52386">
              <w:rPr>
                <w:rFonts w:ascii="Calibri" w:hAnsi="Calibri" w:cs="Calibri"/>
                <w:b/>
                <w:bCs/>
                <w:color w:val="FFFFFF" w:themeColor="background1"/>
                <w:sz w:val="20"/>
                <w:szCs w:val="20"/>
                <w:lang w:eastAsia="fr-FR"/>
              </w:rPr>
              <w:t>Description</w:t>
            </w:r>
          </w:p>
        </w:tc>
        <w:tc>
          <w:tcPr>
            <w:tcW w:w="0" w:type="auto"/>
            <w:shd w:val="clear" w:color="auto" w:fill="748A96"/>
            <w:hideMark/>
          </w:tcPr>
          <w:p w14:paraId="0732907D" w14:textId="77777777" w:rsidR="00750E6D" w:rsidRPr="00C52386" w:rsidRDefault="00750E6D" w:rsidP="0092022E">
            <w:pPr>
              <w:spacing w:before="60" w:after="40"/>
              <w:rPr>
                <w:rFonts w:ascii="Calibri" w:hAnsi="Calibri" w:cs="Calibri"/>
                <w:b/>
                <w:bCs/>
                <w:color w:val="FFFFFF" w:themeColor="background1"/>
                <w:sz w:val="20"/>
                <w:szCs w:val="20"/>
                <w:lang w:eastAsia="fr-FR"/>
              </w:rPr>
            </w:pPr>
            <w:r w:rsidRPr="00C52386">
              <w:rPr>
                <w:rFonts w:ascii="Calibri" w:hAnsi="Calibri" w:cs="Calibri"/>
                <w:b/>
                <w:bCs/>
                <w:color w:val="FFFFFF" w:themeColor="background1"/>
                <w:sz w:val="20"/>
                <w:szCs w:val="20"/>
                <w:lang w:eastAsia="fr-FR"/>
              </w:rPr>
              <w:t>Responsible Entities</w:t>
            </w:r>
          </w:p>
        </w:tc>
        <w:tc>
          <w:tcPr>
            <w:tcW w:w="0" w:type="auto"/>
            <w:shd w:val="clear" w:color="auto" w:fill="748A96"/>
            <w:hideMark/>
          </w:tcPr>
          <w:p w14:paraId="39DDB140" w14:textId="77777777" w:rsidR="00750E6D" w:rsidRPr="00C52386" w:rsidRDefault="00750E6D" w:rsidP="0092022E">
            <w:pPr>
              <w:spacing w:before="60" w:after="40"/>
              <w:rPr>
                <w:rFonts w:ascii="Calibri" w:hAnsi="Calibri" w:cs="Calibri"/>
                <w:b/>
                <w:bCs/>
                <w:color w:val="FFFFFF" w:themeColor="background1"/>
                <w:sz w:val="20"/>
                <w:szCs w:val="20"/>
                <w:lang w:eastAsia="fr-FR"/>
              </w:rPr>
            </w:pPr>
            <w:r w:rsidRPr="00C52386">
              <w:rPr>
                <w:rFonts w:ascii="Calibri" w:hAnsi="Calibri" w:cs="Calibri"/>
                <w:b/>
                <w:bCs/>
                <w:color w:val="FFFFFF" w:themeColor="background1"/>
                <w:sz w:val="20"/>
                <w:szCs w:val="20"/>
                <w:lang w:eastAsia="fr-FR"/>
              </w:rPr>
              <w:t>Disaggregation Level</w:t>
            </w:r>
          </w:p>
        </w:tc>
        <w:tc>
          <w:tcPr>
            <w:tcW w:w="0" w:type="auto"/>
            <w:shd w:val="clear" w:color="auto" w:fill="748A96"/>
            <w:hideMark/>
          </w:tcPr>
          <w:p w14:paraId="08E5B3AD" w14:textId="77777777" w:rsidR="00750E6D" w:rsidRPr="00C52386" w:rsidRDefault="00750E6D" w:rsidP="0092022E">
            <w:pPr>
              <w:spacing w:before="60" w:after="40"/>
              <w:rPr>
                <w:rFonts w:ascii="Calibri" w:hAnsi="Calibri" w:cs="Calibri"/>
                <w:b/>
                <w:bCs/>
                <w:color w:val="FFFFFF" w:themeColor="background1"/>
                <w:sz w:val="20"/>
                <w:szCs w:val="20"/>
                <w:lang w:eastAsia="fr-FR"/>
              </w:rPr>
            </w:pPr>
            <w:r w:rsidRPr="00C52386">
              <w:rPr>
                <w:rFonts w:ascii="Calibri" w:hAnsi="Calibri" w:cs="Calibri"/>
                <w:b/>
                <w:bCs/>
                <w:color w:val="FFFFFF" w:themeColor="background1"/>
                <w:sz w:val="20"/>
                <w:szCs w:val="20"/>
                <w:lang w:eastAsia="fr-FR"/>
              </w:rPr>
              <w:t>Frequency</w:t>
            </w:r>
          </w:p>
        </w:tc>
        <w:tc>
          <w:tcPr>
            <w:tcW w:w="0" w:type="auto"/>
            <w:shd w:val="clear" w:color="auto" w:fill="748A96"/>
            <w:hideMark/>
          </w:tcPr>
          <w:p w14:paraId="6F2ABC00" w14:textId="77777777" w:rsidR="00750E6D" w:rsidRPr="00C52386" w:rsidRDefault="00750E6D" w:rsidP="0092022E">
            <w:pPr>
              <w:spacing w:before="60" w:after="40"/>
              <w:rPr>
                <w:rFonts w:ascii="Calibri" w:hAnsi="Calibri" w:cs="Calibri"/>
                <w:b/>
                <w:bCs/>
                <w:color w:val="FFFFFF" w:themeColor="background1"/>
                <w:sz w:val="20"/>
                <w:szCs w:val="20"/>
                <w:lang w:eastAsia="fr-FR"/>
              </w:rPr>
            </w:pPr>
            <w:r w:rsidRPr="00C52386">
              <w:rPr>
                <w:rFonts w:ascii="Calibri" w:hAnsi="Calibri" w:cs="Calibri"/>
                <w:b/>
                <w:bCs/>
                <w:color w:val="FFFFFF" w:themeColor="background1"/>
                <w:sz w:val="20"/>
                <w:szCs w:val="20"/>
                <w:lang w:eastAsia="fr-FR"/>
              </w:rPr>
              <w:t>Format</w:t>
            </w:r>
          </w:p>
        </w:tc>
        <w:tc>
          <w:tcPr>
            <w:tcW w:w="0" w:type="auto"/>
            <w:shd w:val="clear" w:color="auto" w:fill="748A96"/>
            <w:hideMark/>
          </w:tcPr>
          <w:p w14:paraId="557B4921" w14:textId="77777777" w:rsidR="00750E6D" w:rsidRPr="00C52386" w:rsidRDefault="00750E6D" w:rsidP="0092022E">
            <w:pPr>
              <w:spacing w:before="60" w:after="40"/>
              <w:rPr>
                <w:rFonts w:ascii="Calibri" w:hAnsi="Calibri" w:cs="Calibri"/>
                <w:b/>
                <w:bCs/>
                <w:color w:val="FFFFFF" w:themeColor="background1"/>
                <w:sz w:val="20"/>
                <w:szCs w:val="20"/>
                <w:lang w:eastAsia="fr-FR"/>
              </w:rPr>
            </w:pPr>
            <w:r w:rsidRPr="00C52386">
              <w:rPr>
                <w:rFonts w:ascii="Calibri" w:hAnsi="Calibri" w:cs="Calibri"/>
                <w:b/>
                <w:bCs/>
                <w:color w:val="FFFFFF" w:themeColor="background1"/>
                <w:sz w:val="20"/>
                <w:szCs w:val="20"/>
                <w:lang w:eastAsia="fr-FR"/>
              </w:rPr>
              <w:t>Publication Channels</w:t>
            </w:r>
          </w:p>
        </w:tc>
      </w:tr>
      <w:tr w:rsidR="00750E6D" w:rsidRPr="009348C9" w14:paraId="0DC946AF" w14:textId="77777777" w:rsidTr="0092022E">
        <w:tc>
          <w:tcPr>
            <w:tcW w:w="0" w:type="auto"/>
            <w:hideMark/>
          </w:tcPr>
          <w:p w14:paraId="30708FED"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b/>
                <w:bCs/>
                <w:sz w:val="20"/>
                <w:szCs w:val="20"/>
                <w:lang w:eastAsia="fr-FR"/>
              </w:rPr>
              <w:t>Environmental and Social Regulations</w:t>
            </w:r>
          </w:p>
        </w:tc>
        <w:tc>
          <w:tcPr>
            <w:tcW w:w="0" w:type="auto"/>
            <w:hideMark/>
          </w:tcPr>
          <w:p w14:paraId="694E543B"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Overview of legal and regulatory frameworks governing environmental and social impact in extractives.</w:t>
            </w:r>
          </w:p>
        </w:tc>
        <w:tc>
          <w:tcPr>
            <w:tcW w:w="0" w:type="auto"/>
            <w:hideMark/>
          </w:tcPr>
          <w:p w14:paraId="7D02532A"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Ministry of Environment,</w:t>
            </w:r>
          </w:p>
        </w:tc>
        <w:tc>
          <w:tcPr>
            <w:tcW w:w="0" w:type="auto"/>
            <w:hideMark/>
          </w:tcPr>
          <w:p w14:paraId="5D3D7C80"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National and KRG levels</w:t>
            </w:r>
          </w:p>
        </w:tc>
        <w:tc>
          <w:tcPr>
            <w:tcW w:w="0" w:type="auto"/>
            <w:hideMark/>
          </w:tcPr>
          <w:p w14:paraId="1ADE1949"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Annually &amp; Upon Update</w:t>
            </w:r>
          </w:p>
        </w:tc>
        <w:tc>
          <w:tcPr>
            <w:tcW w:w="0" w:type="auto"/>
            <w:hideMark/>
          </w:tcPr>
          <w:p w14:paraId="557CD6BE"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HTML</w:t>
            </w:r>
          </w:p>
        </w:tc>
        <w:tc>
          <w:tcPr>
            <w:tcW w:w="0" w:type="auto"/>
            <w:hideMark/>
          </w:tcPr>
          <w:p w14:paraId="31470CF8" w14:textId="72594B2B"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 xml:space="preserve">Ministry of Environment website, </w:t>
            </w:r>
            <w:r w:rsidR="0029544A">
              <w:rPr>
                <w:rFonts w:ascii="Calibri" w:eastAsia="Times New Roman" w:hAnsi="Calibri" w:cs="Calibri"/>
                <w:color w:val="0D0D0D"/>
                <w:kern w:val="0"/>
                <w:sz w:val="20"/>
                <w:szCs w:val="20"/>
                <w:lang w:eastAsia="fr-FR"/>
                <w14:ligatures w14:val="none"/>
              </w:rPr>
              <w:t>NRTC</w:t>
            </w:r>
            <w:r w:rsidR="0029544A" w:rsidRPr="009348C9">
              <w:rPr>
                <w:rFonts w:ascii="Calibri" w:hAnsi="Calibri" w:cs="Calibri"/>
                <w:sz w:val="20"/>
                <w:szCs w:val="20"/>
                <w:lang w:eastAsia="fr-FR"/>
              </w:rPr>
              <w:t xml:space="preserve"> </w:t>
            </w:r>
            <w:r w:rsidRPr="009348C9">
              <w:rPr>
                <w:rFonts w:ascii="Calibri" w:hAnsi="Calibri" w:cs="Calibri"/>
                <w:sz w:val="20"/>
                <w:szCs w:val="20"/>
                <w:lang w:eastAsia="fr-FR"/>
              </w:rPr>
              <w:t>Iraq portal</w:t>
            </w:r>
          </w:p>
        </w:tc>
      </w:tr>
      <w:tr w:rsidR="00750E6D" w:rsidRPr="009348C9" w14:paraId="3B6E3FDD" w14:textId="77777777" w:rsidTr="0092022E">
        <w:tc>
          <w:tcPr>
            <w:tcW w:w="0" w:type="auto"/>
            <w:hideMark/>
          </w:tcPr>
          <w:p w14:paraId="7DA97113"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b/>
                <w:bCs/>
                <w:sz w:val="20"/>
                <w:szCs w:val="20"/>
                <w:lang w:eastAsia="fr-FR"/>
              </w:rPr>
              <w:t>Permits &amp; Licenses for Environmental &amp; Social Management</w:t>
            </w:r>
          </w:p>
        </w:tc>
        <w:tc>
          <w:tcPr>
            <w:tcW w:w="0" w:type="auto"/>
            <w:hideMark/>
          </w:tcPr>
          <w:p w14:paraId="6863ED5F"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List of issued environmental and social impact permits for extractive projects.</w:t>
            </w:r>
          </w:p>
        </w:tc>
        <w:tc>
          <w:tcPr>
            <w:tcW w:w="0" w:type="auto"/>
            <w:hideMark/>
          </w:tcPr>
          <w:p w14:paraId="5C963EEF"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Ministry of Environment, Ministry of Oil, Ministry of Natural Resources (KRG)</w:t>
            </w:r>
          </w:p>
        </w:tc>
        <w:tc>
          <w:tcPr>
            <w:tcW w:w="0" w:type="auto"/>
            <w:hideMark/>
          </w:tcPr>
          <w:p w14:paraId="0AF94679"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By project and company</w:t>
            </w:r>
          </w:p>
        </w:tc>
        <w:tc>
          <w:tcPr>
            <w:tcW w:w="0" w:type="auto"/>
            <w:hideMark/>
          </w:tcPr>
          <w:p w14:paraId="181135CC"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Annually &amp; Upon Update</w:t>
            </w:r>
          </w:p>
        </w:tc>
        <w:tc>
          <w:tcPr>
            <w:tcW w:w="0" w:type="auto"/>
            <w:hideMark/>
          </w:tcPr>
          <w:p w14:paraId="6749A288"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CSV, XML</w:t>
            </w:r>
          </w:p>
        </w:tc>
        <w:tc>
          <w:tcPr>
            <w:tcW w:w="0" w:type="auto"/>
            <w:hideMark/>
          </w:tcPr>
          <w:p w14:paraId="0EED29EE" w14:textId="110099BA"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 xml:space="preserve">Ministry of Environment website, </w:t>
            </w:r>
            <w:r w:rsidR="0029544A">
              <w:rPr>
                <w:rFonts w:ascii="Calibri" w:eastAsia="Times New Roman" w:hAnsi="Calibri" w:cs="Calibri"/>
                <w:color w:val="0D0D0D"/>
                <w:kern w:val="0"/>
                <w:sz w:val="20"/>
                <w:szCs w:val="20"/>
                <w:lang w:eastAsia="fr-FR"/>
                <w14:ligatures w14:val="none"/>
              </w:rPr>
              <w:t>NRTC</w:t>
            </w:r>
            <w:r w:rsidR="0029544A" w:rsidRPr="009348C9">
              <w:rPr>
                <w:rFonts w:ascii="Calibri" w:hAnsi="Calibri" w:cs="Calibri"/>
                <w:sz w:val="20"/>
                <w:szCs w:val="20"/>
                <w:lang w:eastAsia="fr-FR"/>
              </w:rPr>
              <w:t xml:space="preserve"> </w:t>
            </w:r>
            <w:r w:rsidRPr="009348C9">
              <w:rPr>
                <w:rFonts w:ascii="Calibri" w:hAnsi="Calibri" w:cs="Calibri"/>
                <w:sz w:val="20"/>
                <w:szCs w:val="20"/>
                <w:lang w:eastAsia="fr-FR"/>
              </w:rPr>
              <w:t>Iraq portal</w:t>
            </w:r>
          </w:p>
        </w:tc>
      </w:tr>
      <w:tr w:rsidR="00750E6D" w:rsidRPr="009348C9" w14:paraId="456C8FA7" w14:textId="77777777" w:rsidTr="0092022E">
        <w:tc>
          <w:tcPr>
            <w:tcW w:w="0" w:type="auto"/>
            <w:hideMark/>
          </w:tcPr>
          <w:p w14:paraId="0F94E82A"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b/>
                <w:bCs/>
                <w:sz w:val="20"/>
                <w:szCs w:val="20"/>
                <w:lang w:eastAsia="fr-FR"/>
              </w:rPr>
              <w:t>Environmental Impact Assessments (EIAs)</w:t>
            </w:r>
          </w:p>
        </w:tc>
        <w:tc>
          <w:tcPr>
            <w:tcW w:w="0" w:type="auto"/>
            <w:hideMark/>
          </w:tcPr>
          <w:p w14:paraId="5E9B55CB"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Public disclosure of EIAs required by law or contract, including mitigation plans.</w:t>
            </w:r>
          </w:p>
        </w:tc>
        <w:tc>
          <w:tcPr>
            <w:tcW w:w="0" w:type="auto"/>
            <w:hideMark/>
          </w:tcPr>
          <w:p w14:paraId="083731FA"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Ministry of Environment, KRG authorities</w:t>
            </w:r>
          </w:p>
        </w:tc>
        <w:tc>
          <w:tcPr>
            <w:tcW w:w="0" w:type="auto"/>
            <w:hideMark/>
          </w:tcPr>
          <w:p w14:paraId="48850682"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By project and company</w:t>
            </w:r>
          </w:p>
        </w:tc>
        <w:tc>
          <w:tcPr>
            <w:tcW w:w="0" w:type="auto"/>
            <w:hideMark/>
          </w:tcPr>
          <w:p w14:paraId="32577607"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Upon approval &amp; updates</w:t>
            </w:r>
          </w:p>
        </w:tc>
        <w:tc>
          <w:tcPr>
            <w:tcW w:w="0" w:type="auto"/>
            <w:hideMark/>
          </w:tcPr>
          <w:p w14:paraId="6057CB59"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PDF</w:t>
            </w:r>
            <w:r>
              <w:rPr>
                <w:rFonts w:ascii="Calibri" w:hAnsi="Calibri" w:cs="Calibri"/>
                <w:sz w:val="20"/>
                <w:szCs w:val="20"/>
                <w:lang w:eastAsia="fr-FR"/>
              </w:rPr>
              <w:t>, HTML</w:t>
            </w:r>
          </w:p>
        </w:tc>
        <w:tc>
          <w:tcPr>
            <w:tcW w:w="0" w:type="auto"/>
            <w:hideMark/>
          </w:tcPr>
          <w:p w14:paraId="23210940" w14:textId="6F30AFDC" w:rsidR="00750E6D" w:rsidRPr="009348C9" w:rsidRDefault="0029544A" w:rsidP="0092022E">
            <w:pPr>
              <w:spacing w:before="60" w:after="40"/>
              <w:rPr>
                <w:rFonts w:ascii="Calibri" w:hAnsi="Calibri" w:cs="Calibri"/>
                <w:sz w:val="20"/>
                <w:szCs w:val="20"/>
                <w:lang w:eastAsia="fr-FR"/>
              </w:rPr>
            </w:pPr>
            <w:r>
              <w:rPr>
                <w:rFonts w:ascii="Calibri" w:eastAsia="Times New Roman" w:hAnsi="Calibri" w:cs="Calibri"/>
                <w:color w:val="0D0D0D"/>
                <w:kern w:val="0"/>
                <w:sz w:val="20"/>
                <w:szCs w:val="20"/>
                <w:lang w:eastAsia="fr-FR"/>
                <w14:ligatures w14:val="none"/>
              </w:rPr>
              <w:t>NRTC</w:t>
            </w:r>
            <w:r w:rsidR="00750E6D" w:rsidRPr="009348C9">
              <w:rPr>
                <w:rFonts w:ascii="Calibri" w:hAnsi="Calibri" w:cs="Calibri"/>
                <w:sz w:val="20"/>
                <w:szCs w:val="20"/>
                <w:lang w:eastAsia="fr-FR"/>
              </w:rPr>
              <w:t xml:space="preserve"> Iraq portal, Ministry of Environment website</w:t>
            </w:r>
          </w:p>
        </w:tc>
      </w:tr>
      <w:tr w:rsidR="00750E6D" w:rsidRPr="009348C9" w14:paraId="1C86E9EC" w14:textId="77777777" w:rsidTr="0092022E">
        <w:tc>
          <w:tcPr>
            <w:tcW w:w="0" w:type="auto"/>
            <w:hideMark/>
          </w:tcPr>
          <w:p w14:paraId="70CFC45E"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b/>
                <w:bCs/>
                <w:sz w:val="20"/>
                <w:szCs w:val="20"/>
                <w:lang w:eastAsia="fr-FR"/>
              </w:rPr>
              <w:t>Monitoring Reports on Environmental &amp; Social Complianc</w:t>
            </w:r>
            <w:r>
              <w:rPr>
                <w:rFonts w:ascii="Calibri" w:hAnsi="Calibri" w:cs="Calibri"/>
                <w:b/>
                <w:bCs/>
                <w:sz w:val="20"/>
                <w:szCs w:val="20"/>
                <w:lang w:eastAsia="fr-FR"/>
              </w:rPr>
              <w:t>e</w:t>
            </w:r>
          </w:p>
        </w:tc>
        <w:tc>
          <w:tcPr>
            <w:tcW w:w="0" w:type="auto"/>
            <w:hideMark/>
          </w:tcPr>
          <w:p w14:paraId="6DAD4E05"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Reports on compliance with environmental, social, and gender obligations, including water, land, emissions, and human rights.</w:t>
            </w:r>
          </w:p>
        </w:tc>
        <w:tc>
          <w:tcPr>
            <w:tcW w:w="0" w:type="auto"/>
            <w:hideMark/>
          </w:tcPr>
          <w:p w14:paraId="2C970A08"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 xml:space="preserve">Ministry of Environment, </w:t>
            </w:r>
          </w:p>
        </w:tc>
        <w:tc>
          <w:tcPr>
            <w:tcW w:w="0" w:type="auto"/>
            <w:hideMark/>
          </w:tcPr>
          <w:p w14:paraId="3968A442"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By project, company, and type of violation</w:t>
            </w:r>
          </w:p>
        </w:tc>
        <w:tc>
          <w:tcPr>
            <w:tcW w:w="0" w:type="auto"/>
            <w:hideMark/>
          </w:tcPr>
          <w:p w14:paraId="7E723929"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Annually</w:t>
            </w:r>
          </w:p>
        </w:tc>
        <w:tc>
          <w:tcPr>
            <w:tcW w:w="0" w:type="auto"/>
            <w:hideMark/>
          </w:tcPr>
          <w:p w14:paraId="7F07DB24" w14:textId="77777777" w:rsidR="00750E6D" w:rsidRPr="009348C9" w:rsidRDefault="00750E6D" w:rsidP="0092022E">
            <w:pPr>
              <w:spacing w:before="60" w:after="40"/>
              <w:rPr>
                <w:rFonts w:ascii="Calibri" w:hAnsi="Calibri" w:cs="Calibri"/>
                <w:sz w:val="20"/>
                <w:szCs w:val="20"/>
                <w:lang w:eastAsia="fr-FR"/>
              </w:rPr>
            </w:pPr>
            <w:r w:rsidRPr="007E2696">
              <w:rPr>
                <w:rFonts w:ascii="Calibri" w:hAnsi="Calibri" w:cs="Calibri"/>
                <w:b/>
                <w:bCs/>
                <w:sz w:val="20"/>
                <w:szCs w:val="20"/>
                <w:lang w:eastAsia="fr-FR"/>
              </w:rPr>
              <w:t>CSV, HTML</w:t>
            </w:r>
            <w:r w:rsidRPr="007E2696">
              <w:rPr>
                <w:rFonts w:ascii="Calibri" w:hAnsi="Calibri" w:cs="Calibri"/>
                <w:sz w:val="20"/>
                <w:szCs w:val="20"/>
                <w:lang w:eastAsia="fr-FR"/>
              </w:rPr>
              <w:t xml:space="preserve"> (PDF optional)</w:t>
            </w:r>
          </w:p>
        </w:tc>
        <w:tc>
          <w:tcPr>
            <w:tcW w:w="0" w:type="auto"/>
            <w:hideMark/>
          </w:tcPr>
          <w:p w14:paraId="6B6F0104" w14:textId="18219480" w:rsidR="00750E6D" w:rsidRPr="009348C9" w:rsidRDefault="0029544A" w:rsidP="0092022E">
            <w:pPr>
              <w:spacing w:before="60" w:after="40"/>
              <w:rPr>
                <w:rFonts w:ascii="Calibri" w:hAnsi="Calibri" w:cs="Calibri"/>
                <w:sz w:val="20"/>
                <w:szCs w:val="20"/>
                <w:lang w:eastAsia="fr-FR"/>
              </w:rPr>
            </w:pPr>
            <w:r>
              <w:rPr>
                <w:rFonts w:ascii="Calibri" w:eastAsia="Times New Roman" w:hAnsi="Calibri" w:cs="Calibri"/>
                <w:color w:val="0D0D0D"/>
                <w:kern w:val="0"/>
                <w:sz w:val="20"/>
                <w:szCs w:val="20"/>
                <w:lang w:eastAsia="fr-FR"/>
                <w14:ligatures w14:val="none"/>
              </w:rPr>
              <w:t>NRTC</w:t>
            </w:r>
            <w:r w:rsidR="00750E6D" w:rsidRPr="009348C9">
              <w:rPr>
                <w:rFonts w:ascii="Calibri" w:hAnsi="Calibri" w:cs="Calibri"/>
                <w:sz w:val="20"/>
                <w:szCs w:val="20"/>
                <w:lang w:eastAsia="fr-FR"/>
              </w:rPr>
              <w:t xml:space="preserve"> Iraq portal, Ministry of Environment website</w:t>
            </w:r>
          </w:p>
        </w:tc>
      </w:tr>
      <w:tr w:rsidR="00750E6D" w:rsidRPr="009348C9" w14:paraId="7B718EBD" w14:textId="77777777" w:rsidTr="0092022E">
        <w:tc>
          <w:tcPr>
            <w:tcW w:w="0" w:type="auto"/>
            <w:hideMark/>
          </w:tcPr>
          <w:p w14:paraId="7EC8B2C3"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b/>
                <w:bCs/>
                <w:sz w:val="20"/>
                <w:szCs w:val="20"/>
                <w:lang w:eastAsia="fr-FR"/>
              </w:rPr>
              <w:t>Rehabilitation &amp; Closure Plans</w:t>
            </w:r>
          </w:p>
        </w:tc>
        <w:tc>
          <w:tcPr>
            <w:tcW w:w="0" w:type="auto"/>
            <w:hideMark/>
          </w:tcPr>
          <w:p w14:paraId="747ECD3C"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Disclosure of plans and obligations for decommissioning extractive sites, including financial provisions.</w:t>
            </w:r>
          </w:p>
        </w:tc>
        <w:tc>
          <w:tcPr>
            <w:tcW w:w="0" w:type="auto"/>
            <w:hideMark/>
          </w:tcPr>
          <w:p w14:paraId="3F94744D"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Ministry of Oil, Ministry of Environment, Ministry of Industry and Minerals, , SOEs, KRG authorities</w:t>
            </w:r>
          </w:p>
        </w:tc>
        <w:tc>
          <w:tcPr>
            <w:tcW w:w="0" w:type="auto"/>
            <w:hideMark/>
          </w:tcPr>
          <w:p w14:paraId="3D3E9167"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By project and company</w:t>
            </w:r>
          </w:p>
        </w:tc>
        <w:tc>
          <w:tcPr>
            <w:tcW w:w="0" w:type="auto"/>
            <w:hideMark/>
          </w:tcPr>
          <w:p w14:paraId="245CF7AF"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Annually &amp; Upon Update</w:t>
            </w:r>
          </w:p>
        </w:tc>
        <w:tc>
          <w:tcPr>
            <w:tcW w:w="0" w:type="auto"/>
            <w:hideMark/>
          </w:tcPr>
          <w:p w14:paraId="1D96B132"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PDF, CSV</w:t>
            </w:r>
          </w:p>
        </w:tc>
        <w:tc>
          <w:tcPr>
            <w:tcW w:w="0" w:type="auto"/>
            <w:hideMark/>
          </w:tcPr>
          <w:p w14:paraId="39187C9E" w14:textId="5E5A651D" w:rsidR="00750E6D" w:rsidRPr="009348C9" w:rsidRDefault="0029544A" w:rsidP="0092022E">
            <w:pPr>
              <w:spacing w:before="60" w:after="40"/>
              <w:rPr>
                <w:rFonts w:ascii="Calibri" w:hAnsi="Calibri" w:cs="Calibri"/>
                <w:sz w:val="20"/>
                <w:szCs w:val="20"/>
                <w:lang w:eastAsia="fr-FR"/>
              </w:rPr>
            </w:pPr>
            <w:r>
              <w:rPr>
                <w:rFonts w:ascii="Calibri" w:eastAsia="Times New Roman" w:hAnsi="Calibri" w:cs="Calibri"/>
                <w:color w:val="0D0D0D"/>
                <w:kern w:val="0"/>
                <w:sz w:val="20"/>
                <w:szCs w:val="20"/>
                <w:lang w:eastAsia="fr-FR"/>
                <w14:ligatures w14:val="none"/>
              </w:rPr>
              <w:t>NRTC</w:t>
            </w:r>
            <w:r w:rsidR="00750E6D" w:rsidRPr="009348C9">
              <w:rPr>
                <w:rFonts w:ascii="Calibri" w:hAnsi="Calibri" w:cs="Calibri"/>
                <w:sz w:val="20"/>
                <w:szCs w:val="20"/>
                <w:lang w:eastAsia="fr-FR"/>
              </w:rPr>
              <w:t xml:space="preserve"> Iraq portal, Ministry websites</w:t>
            </w:r>
          </w:p>
        </w:tc>
      </w:tr>
      <w:tr w:rsidR="00750E6D" w:rsidRPr="009348C9" w14:paraId="58E71C3C" w14:textId="77777777" w:rsidTr="0092022E">
        <w:tc>
          <w:tcPr>
            <w:tcW w:w="0" w:type="auto"/>
            <w:hideMark/>
          </w:tcPr>
          <w:p w14:paraId="4E7DE497"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b/>
                <w:bCs/>
                <w:sz w:val="20"/>
                <w:szCs w:val="20"/>
                <w:lang w:eastAsia="fr-FR"/>
              </w:rPr>
              <w:t>Gas Flaring and Emissions Data</w:t>
            </w:r>
          </w:p>
        </w:tc>
        <w:tc>
          <w:tcPr>
            <w:tcW w:w="0" w:type="auto"/>
            <w:hideMark/>
          </w:tcPr>
          <w:p w14:paraId="4EB75F7A"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 xml:space="preserve">Quantities of gas flared, vented, or captured; </w:t>
            </w:r>
          </w:p>
          <w:p w14:paraId="6BD6B75D"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GHG emissions from extractive activities.</w:t>
            </w:r>
          </w:p>
        </w:tc>
        <w:tc>
          <w:tcPr>
            <w:tcW w:w="0" w:type="auto"/>
            <w:hideMark/>
          </w:tcPr>
          <w:p w14:paraId="27456824"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Ministry of Oil, Ministry of Industry and Minerals, Ministry of Environment, SOEs, IOC</w:t>
            </w:r>
          </w:p>
          <w:p w14:paraId="2CB90293"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KRG authorities</w:t>
            </w:r>
          </w:p>
        </w:tc>
        <w:tc>
          <w:tcPr>
            <w:tcW w:w="0" w:type="auto"/>
            <w:hideMark/>
          </w:tcPr>
          <w:p w14:paraId="50A47E8B"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By project and company</w:t>
            </w:r>
          </w:p>
        </w:tc>
        <w:tc>
          <w:tcPr>
            <w:tcW w:w="0" w:type="auto"/>
            <w:hideMark/>
          </w:tcPr>
          <w:p w14:paraId="51977CBA"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Quarterly</w:t>
            </w:r>
          </w:p>
        </w:tc>
        <w:tc>
          <w:tcPr>
            <w:tcW w:w="0" w:type="auto"/>
            <w:hideMark/>
          </w:tcPr>
          <w:p w14:paraId="3B98CA6E" w14:textId="77777777" w:rsidR="00750E6D" w:rsidRPr="009348C9" w:rsidRDefault="00750E6D" w:rsidP="0092022E">
            <w:pPr>
              <w:spacing w:before="60" w:after="40"/>
              <w:rPr>
                <w:rFonts w:ascii="Calibri" w:hAnsi="Calibri" w:cs="Calibri"/>
                <w:sz w:val="20"/>
                <w:szCs w:val="20"/>
                <w:lang w:eastAsia="fr-FR"/>
              </w:rPr>
            </w:pPr>
            <w:r w:rsidRPr="00910733">
              <w:rPr>
                <w:rFonts w:ascii="Calibri" w:hAnsi="Calibri" w:cs="Calibri"/>
                <w:b/>
                <w:bCs/>
                <w:sz w:val="20"/>
                <w:szCs w:val="20"/>
                <w:lang w:eastAsia="fr-FR"/>
              </w:rPr>
              <w:t>CSV, JSON</w:t>
            </w:r>
            <w:r w:rsidRPr="00910733">
              <w:rPr>
                <w:rFonts w:ascii="Calibri" w:hAnsi="Calibri" w:cs="Calibri"/>
                <w:sz w:val="20"/>
                <w:szCs w:val="20"/>
                <w:lang w:eastAsia="fr-FR"/>
              </w:rPr>
              <w:t xml:space="preserve"> (Excel optional)</w:t>
            </w:r>
          </w:p>
        </w:tc>
        <w:tc>
          <w:tcPr>
            <w:tcW w:w="0" w:type="auto"/>
            <w:hideMark/>
          </w:tcPr>
          <w:p w14:paraId="6F9AB626" w14:textId="2D16AB9B" w:rsidR="00750E6D" w:rsidRPr="009348C9" w:rsidRDefault="0029544A" w:rsidP="0092022E">
            <w:pPr>
              <w:spacing w:before="60" w:after="40"/>
              <w:rPr>
                <w:rFonts w:ascii="Calibri" w:hAnsi="Calibri" w:cs="Calibri"/>
                <w:sz w:val="20"/>
                <w:szCs w:val="20"/>
                <w:lang w:eastAsia="fr-FR"/>
              </w:rPr>
            </w:pPr>
            <w:r>
              <w:rPr>
                <w:rFonts w:ascii="Calibri" w:eastAsia="Times New Roman" w:hAnsi="Calibri" w:cs="Calibri"/>
                <w:color w:val="0D0D0D"/>
                <w:kern w:val="0"/>
                <w:sz w:val="20"/>
                <w:szCs w:val="20"/>
                <w:lang w:eastAsia="fr-FR"/>
                <w14:ligatures w14:val="none"/>
              </w:rPr>
              <w:t>NRTC</w:t>
            </w:r>
            <w:r w:rsidR="00750E6D" w:rsidRPr="009348C9">
              <w:rPr>
                <w:rFonts w:ascii="Calibri" w:hAnsi="Calibri" w:cs="Calibri"/>
                <w:sz w:val="20"/>
                <w:szCs w:val="20"/>
                <w:lang w:eastAsia="fr-FR"/>
              </w:rPr>
              <w:t xml:space="preserve"> Iraq portal, Ministry websites</w:t>
            </w:r>
          </w:p>
          <w:p w14:paraId="1D4AC7FE"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SOE and IOC websites</w:t>
            </w:r>
          </w:p>
        </w:tc>
      </w:tr>
      <w:tr w:rsidR="00750E6D" w:rsidRPr="009348C9" w14:paraId="4DDE9EC8" w14:textId="77777777" w:rsidTr="0092022E">
        <w:tc>
          <w:tcPr>
            <w:tcW w:w="0" w:type="auto"/>
          </w:tcPr>
          <w:p w14:paraId="35331625" w14:textId="77777777" w:rsidR="00750E6D" w:rsidRPr="009348C9" w:rsidRDefault="00750E6D" w:rsidP="0092022E">
            <w:pPr>
              <w:spacing w:before="60" w:after="40"/>
              <w:rPr>
                <w:rFonts w:ascii="Calibri" w:hAnsi="Calibri" w:cs="Calibri"/>
                <w:b/>
                <w:bCs/>
                <w:sz w:val="20"/>
                <w:szCs w:val="20"/>
                <w:lang w:eastAsia="fr-FR"/>
              </w:rPr>
            </w:pPr>
            <w:r w:rsidRPr="009348C9">
              <w:rPr>
                <w:rFonts w:ascii="Calibri" w:hAnsi="Calibri" w:cs="Calibri"/>
                <w:b/>
                <w:bCs/>
                <w:sz w:val="20"/>
                <w:szCs w:val="20"/>
                <w:lang w:eastAsia="fr-FR"/>
              </w:rPr>
              <w:t>Community Consultations on Environmental &amp; Social Impact</w:t>
            </w:r>
          </w:p>
        </w:tc>
        <w:tc>
          <w:tcPr>
            <w:tcW w:w="0" w:type="auto"/>
          </w:tcPr>
          <w:p w14:paraId="03E555F2"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Disclosure of consultation processes with impacted communities, including gender-disaggregated data on participation.</w:t>
            </w:r>
          </w:p>
        </w:tc>
        <w:tc>
          <w:tcPr>
            <w:tcW w:w="0" w:type="auto"/>
          </w:tcPr>
          <w:p w14:paraId="101EE9DA"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Ministry of Environment</w:t>
            </w:r>
          </w:p>
        </w:tc>
        <w:tc>
          <w:tcPr>
            <w:tcW w:w="0" w:type="auto"/>
          </w:tcPr>
          <w:p w14:paraId="0CFE07DF"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By project, region, gender</w:t>
            </w:r>
          </w:p>
        </w:tc>
        <w:tc>
          <w:tcPr>
            <w:tcW w:w="0" w:type="auto"/>
          </w:tcPr>
          <w:p w14:paraId="0880A7EB"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Annually</w:t>
            </w:r>
          </w:p>
        </w:tc>
        <w:tc>
          <w:tcPr>
            <w:tcW w:w="0" w:type="auto"/>
          </w:tcPr>
          <w:p w14:paraId="4AB694CC" w14:textId="77777777" w:rsidR="00750E6D" w:rsidRPr="009348C9" w:rsidRDefault="00750E6D" w:rsidP="0092022E">
            <w:pPr>
              <w:spacing w:before="60" w:after="40"/>
              <w:rPr>
                <w:rFonts w:ascii="Calibri" w:hAnsi="Calibri" w:cs="Calibri"/>
                <w:sz w:val="20"/>
                <w:szCs w:val="20"/>
                <w:lang w:eastAsia="fr-FR"/>
              </w:rPr>
            </w:pPr>
            <w:r w:rsidRPr="00910733">
              <w:rPr>
                <w:rFonts w:ascii="Calibri" w:hAnsi="Calibri" w:cs="Calibri"/>
                <w:b/>
                <w:bCs/>
                <w:sz w:val="20"/>
                <w:szCs w:val="20"/>
                <w:lang w:eastAsia="fr-FR"/>
              </w:rPr>
              <w:t>CSV, HTML</w:t>
            </w:r>
            <w:r w:rsidRPr="00910733">
              <w:rPr>
                <w:rFonts w:ascii="Calibri" w:hAnsi="Calibri" w:cs="Calibri"/>
                <w:sz w:val="20"/>
                <w:szCs w:val="20"/>
                <w:lang w:eastAsia="fr-FR"/>
              </w:rPr>
              <w:t xml:space="preserve"> (PDF optional)</w:t>
            </w:r>
          </w:p>
        </w:tc>
        <w:tc>
          <w:tcPr>
            <w:tcW w:w="0" w:type="auto"/>
          </w:tcPr>
          <w:p w14:paraId="59773950" w14:textId="070F0E90" w:rsidR="00750E6D" w:rsidRPr="009348C9" w:rsidRDefault="0029544A" w:rsidP="0092022E">
            <w:pPr>
              <w:spacing w:before="60" w:after="40"/>
              <w:rPr>
                <w:rFonts w:ascii="Calibri" w:hAnsi="Calibri" w:cs="Calibri"/>
                <w:sz w:val="20"/>
                <w:szCs w:val="20"/>
                <w:lang w:eastAsia="fr-FR"/>
              </w:rPr>
            </w:pPr>
            <w:r>
              <w:rPr>
                <w:rFonts w:ascii="Calibri" w:eastAsia="Times New Roman" w:hAnsi="Calibri" w:cs="Calibri"/>
                <w:color w:val="0D0D0D"/>
                <w:kern w:val="0"/>
                <w:sz w:val="20"/>
                <w:szCs w:val="20"/>
                <w:lang w:eastAsia="fr-FR"/>
                <w14:ligatures w14:val="none"/>
              </w:rPr>
              <w:t>NRTC</w:t>
            </w:r>
            <w:r w:rsidR="00750E6D" w:rsidRPr="009348C9">
              <w:rPr>
                <w:rFonts w:ascii="Calibri" w:hAnsi="Calibri" w:cs="Calibri"/>
                <w:sz w:val="20"/>
                <w:szCs w:val="20"/>
                <w:lang w:eastAsia="fr-FR"/>
              </w:rPr>
              <w:t xml:space="preserve"> Iraq portal, Ministry of Environment website</w:t>
            </w:r>
          </w:p>
        </w:tc>
      </w:tr>
      <w:tr w:rsidR="00750E6D" w:rsidRPr="009348C9" w14:paraId="0D3320AA" w14:textId="77777777" w:rsidTr="0092022E">
        <w:tc>
          <w:tcPr>
            <w:tcW w:w="0" w:type="auto"/>
          </w:tcPr>
          <w:p w14:paraId="707E4DFF" w14:textId="77777777" w:rsidR="00750E6D" w:rsidRPr="009348C9" w:rsidRDefault="00750E6D" w:rsidP="0092022E">
            <w:pPr>
              <w:spacing w:before="60" w:after="40"/>
              <w:rPr>
                <w:rFonts w:ascii="Calibri" w:hAnsi="Calibri" w:cs="Calibri"/>
                <w:b/>
                <w:bCs/>
                <w:sz w:val="20"/>
                <w:szCs w:val="20"/>
                <w:lang w:eastAsia="fr-FR"/>
              </w:rPr>
            </w:pPr>
            <w:r w:rsidRPr="009348C9">
              <w:rPr>
                <w:rFonts w:ascii="Calibri" w:hAnsi="Calibri" w:cs="Calibri"/>
                <w:b/>
                <w:bCs/>
                <w:sz w:val="20"/>
                <w:szCs w:val="20"/>
                <w:lang w:eastAsia="fr-FR"/>
              </w:rPr>
              <w:t>Sanctions &amp; Enforcement Actions</w:t>
            </w:r>
          </w:p>
        </w:tc>
        <w:tc>
          <w:tcPr>
            <w:tcW w:w="0" w:type="auto"/>
          </w:tcPr>
          <w:p w14:paraId="38832CB1"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Public disclosure of environmental sanctions and enforcement measures against companies for non-compliance.</w:t>
            </w:r>
          </w:p>
        </w:tc>
        <w:tc>
          <w:tcPr>
            <w:tcW w:w="0" w:type="auto"/>
          </w:tcPr>
          <w:p w14:paraId="1B566249"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Ministry of Environment, Federal Board of Supreme Audit</w:t>
            </w:r>
          </w:p>
        </w:tc>
        <w:tc>
          <w:tcPr>
            <w:tcW w:w="0" w:type="auto"/>
          </w:tcPr>
          <w:p w14:paraId="5C055825"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By company, violation type</w:t>
            </w:r>
          </w:p>
        </w:tc>
        <w:tc>
          <w:tcPr>
            <w:tcW w:w="0" w:type="auto"/>
          </w:tcPr>
          <w:p w14:paraId="5413642C" w14:textId="77777777" w:rsidR="00750E6D" w:rsidRPr="009348C9" w:rsidRDefault="00750E6D" w:rsidP="0092022E">
            <w:pPr>
              <w:spacing w:before="60" w:after="40"/>
              <w:rPr>
                <w:rFonts w:ascii="Calibri" w:hAnsi="Calibri" w:cs="Calibri"/>
                <w:sz w:val="20"/>
                <w:szCs w:val="20"/>
                <w:lang w:eastAsia="fr-FR"/>
              </w:rPr>
            </w:pPr>
            <w:r w:rsidRPr="009348C9">
              <w:rPr>
                <w:rFonts w:ascii="Calibri" w:hAnsi="Calibri" w:cs="Calibri"/>
                <w:sz w:val="20"/>
                <w:szCs w:val="20"/>
                <w:lang w:eastAsia="fr-FR"/>
              </w:rPr>
              <w:t>Annually</w:t>
            </w:r>
          </w:p>
        </w:tc>
        <w:tc>
          <w:tcPr>
            <w:tcW w:w="0" w:type="auto"/>
          </w:tcPr>
          <w:p w14:paraId="06F6D8EF" w14:textId="77777777" w:rsidR="00750E6D" w:rsidRPr="009348C9" w:rsidRDefault="00750E6D" w:rsidP="0092022E">
            <w:pPr>
              <w:spacing w:before="60" w:after="40"/>
              <w:rPr>
                <w:rFonts w:ascii="Calibri" w:hAnsi="Calibri" w:cs="Calibri"/>
                <w:sz w:val="20"/>
                <w:szCs w:val="20"/>
                <w:lang w:eastAsia="fr-FR"/>
              </w:rPr>
            </w:pPr>
            <w:r w:rsidRPr="00910733">
              <w:rPr>
                <w:rFonts w:ascii="Calibri" w:hAnsi="Calibri" w:cs="Calibri"/>
                <w:sz w:val="20"/>
                <w:szCs w:val="20"/>
                <w:lang w:eastAsia="fr-FR"/>
              </w:rPr>
              <w:t>CSV, HTML</w:t>
            </w:r>
          </w:p>
        </w:tc>
        <w:tc>
          <w:tcPr>
            <w:tcW w:w="0" w:type="auto"/>
          </w:tcPr>
          <w:p w14:paraId="46ED0059" w14:textId="271482C6" w:rsidR="00750E6D" w:rsidRPr="009348C9" w:rsidRDefault="0029544A" w:rsidP="0092022E">
            <w:pPr>
              <w:spacing w:before="60" w:after="40"/>
              <w:rPr>
                <w:rFonts w:ascii="Calibri" w:hAnsi="Calibri" w:cs="Calibri"/>
                <w:sz w:val="20"/>
                <w:szCs w:val="20"/>
                <w:lang w:eastAsia="fr-FR"/>
              </w:rPr>
            </w:pPr>
            <w:r>
              <w:rPr>
                <w:rFonts w:ascii="Calibri" w:eastAsia="Times New Roman" w:hAnsi="Calibri" w:cs="Calibri"/>
                <w:color w:val="0D0D0D"/>
                <w:kern w:val="0"/>
                <w:sz w:val="20"/>
                <w:szCs w:val="20"/>
                <w:lang w:eastAsia="fr-FR"/>
                <w14:ligatures w14:val="none"/>
              </w:rPr>
              <w:t>NRTC</w:t>
            </w:r>
            <w:r w:rsidR="00750E6D" w:rsidRPr="009348C9">
              <w:rPr>
                <w:rFonts w:ascii="Calibri" w:hAnsi="Calibri" w:cs="Calibri"/>
                <w:sz w:val="20"/>
                <w:szCs w:val="20"/>
                <w:lang w:eastAsia="fr-FR"/>
              </w:rPr>
              <w:t xml:space="preserve"> Iraq portal, Ministry of Environment website</w:t>
            </w:r>
          </w:p>
        </w:tc>
      </w:tr>
    </w:tbl>
    <w:p w14:paraId="21FD7A51" w14:textId="77777777" w:rsidR="004D5048" w:rsidRDefault="004D5048" w:rsidP="004D5048">
      <w:pPr>
        <w:rPr>
          <w:b/>
          <w:bCs/>
        </w:rPr>
      </w:pPr>
    </w:p>
    <w:p w14:paraId="4B428F3D" w14:textId="363BC871" w:rsidR="004D5048" w:rsidRPr="00C52386" w:rsidRDefault="004D5048" w:rsidP="00C52386">
      <w:pPr>
        <w:pStyle w:val="Heading4"/>
        <w:spacing w:before="120" w:after="120"/>
        <w:rPr>
          <w:rFonts w:ascii="Kohinoor Devanagari" w:hAnsi="Kohinoor Devanagari" w:cs="Kohinoor Devanagari"/>
          <w:b/>
          <w:bCs/>
          <w:sz w:val="22"/>
          <w:szCs w:val="22"/>
        </w:rPr>
      </w:pPr>
      <w:r w:rsidRPr="00C52386">
        <w:rPr>
          <w:rFonts w:ascii="Kohinoor Devanagari" w:hAnsi="Kohinoor Devanagari" w:cs="Kohinoor Devanagari"/>
          <w:b/>
          <w:bCs/>
          <w:sz w:val="22"/>
          <w:szCs w:val="22"/>
        </w:rPr>
        <w:t>Module</w:t>
      </w:r>
      <w:r w:rsidR="008E46D5">
        <w:rPr>
          <w:rFonts w:ascii="Kohinoor Devanagari" w:hAnsi="Kohinoor Devanagari" w:cs="Kohinoor Devanagari"/>
          <w:b/>
          <w:bCs/>
          <w:sz w:val="22"/>
          <w:szCs w:val="22"/>
        </w:rPr>
        <w:t xml:space="preserve"> 3</w:t>
      </w:r>
      <w:r w:rsidRPr="00C52386">
        <w:rPr>
          <w:rFonts w:ascii="Kohinoor Devanagari" w:hAnsi="Kohinoor Devanagari" w:cs="Kohinoor Devanagari"/>
          <w:b/>
          <w:bCs/>
          <w:sz w:val="22"/>
          <w:szCs w:val="22"/>
        </w:rPr>
        <w:t>: Licenses Requirement</w:t>
      </w:r>
    </w:p>
    <w:p w14:paraId="63B379A3" w14:textId="134E103D" w:rsidR="008E46D5" w:rsidRPr="00120990" w:rsidRDefault="005F017B" w:rsidP="008E46D5">
      <w:pPr>
        <w:pStyle w:val="Heading4"/>
        <w:spacing w:before="120" w:after="120"/>
        <w:rPr>
          <w:rFonts w:ascii="Kohinoor Devanagari" w:hAnsi="Kohinoor Devanagari" w:cs="Kohinoor Devanagari"/>
          <w:b/>
          <w:bCs/>
          <w:sz w:val="22"/>
          <w:szCs w:val="22"/>
        </w:rPr>
      </w:pPr>
      <w:r>
        <w:rPr>
          <w:rFonts w:ascii="Kohinoor Devanagari" w:hAnsi="Kohinoor Devanagari" w:cs="Kohinoor Devanagari"/>
          <w:b/>
          <w:bCs/>
          <w:sz w:val="22"/>
          <w:szCs w:val="22"/>
        </w:rPr>
        <w:t>3.1.</w:t>
      </w:r>
      <w:r w:rsidRPr="00120990">
        <w:rPr>
          <w:rFonts w:ascii="Kohinoor Devanagari" w:hAnsi="Kohinoor Devanagari" w:cs="Kohinoor Devanagari"/>
          <w:b/>
          <w:bCs/>
          <w:sz w:val="22"/>
          <w:szCs w:val="22"/>
        </w:rPr>
        <w:t xml:space="preserve"> License</w:t>
      </w:r>
      <w:r w:rsidR="008E46D5" w:rsidRPr="00120990">
        <w:rPr>
          <w:rFonts w:ascii="Kohinoor Devanagari" w:hAnsi="Kohinoor Devanagari" w:cs="Kohinoor Devanagari"/>
          <w:b/>
          <w:bCs/>
          <w:sz w:val="22"/>
          <w:szCs w:val="22"/>
        </w:rPr>
        <w:t xml:space="preserve"> Allocations (Requirement 2.2)</w:t>
      </w:r>
    </w:p>
    <w:p w14:paraId="774E5EBE" w14:textId="77777777" w:rsidR="008E46D5" w:rsidRPr="00A3573B" w:rsidRDefault="008E46D5" w:rsidP="008E46D5">
      <w:pPr>
        <w:spacing w:before="120" w:after="120" w:line="240" w:lineRule="auto"/>
        <w:jc w:val="both"/>
        <w:rPr>
          <w:rFonts w:ascii="Kohinoor Devanagari" w:hAnsi="Kohinoor Devanagari" w:cs="Kohinoor Devanagari"/>
          <w:b/>
          <w:bCs/>
          <w:sz w:val="22"/>
          <w:szCs w:val="22"/>
        </w:rPr>
      </w:pPr>
      <w:r w:rsidRPr="00A3573B">
        <w:rPr>
          <w:rFonts w:ascii="Kohinoor Devanagari" w:hAnsi="Kohinoor Devanagari" w:cs="Kohinoor Devanagari"/>
          <w:b/>
          <w:bCs/>
          <w:sz w:val="22"/>
          <w:szCs w:val="22"/>
        </w:rPr>
        <w:t>Objective</w:t>
      </w:r>
    </w:p>
    <w:p w14:paraId="14959AE2" w14:textId="77777777" w:rsidR="008E46D5" w:rsidRPr="00120990" w:rsidRDefault="008E46D5" w:rsidP="008E46D5">
      <w:pPr>
        <w:spacing w:before="120" w:after="120" w:line="240" w:lineRule="auto"/>
        <w:jc w:val="both"/>
        <w:rPr>
          <w:rFonts w:ascii="Kohinoor Devanagari" w:hAnsi="Kohinoor Devanagari" w:cs="Kohinoor Devanagari"/>
          <w:sz w:val="22"/>
          <w:szCs w:val="22"/>
        </w:rPr>
      </w:pPr>
      <w:r w:rsidRPr="00120990">
        <w:rPr>
          <w:rFonts w:ascii="Kohinoor Devanagari" w:hAnsi="Kohinoor Devanagari" w:cs="Kohinoor Devanagari"/>
          <w:sz w:val="22"/>
          <w:szCs w:val="22"/>
        </w:rPr>
        <w:t>This section ensures transparency in the allocation and transfer of oil, gas, and mining licenses, covering:</w:t>
      </w:r>
    </w:p>
    <w:p w14:paraId="4A638D51" w14:textId="77777777" w:rsidR="008E46D5" w:rsidRPr="00120990" w:rsidRDefault="008E46D5" w:rsidP="008E46D5">
      <w:pPr>
        <w:numPr>
          <w:ilvl w:val="0"/>
          <w:numId w:val="56"/>
        </w:numPr>
        <w:spacing w:before="120" w:after="120" w:line="240" w:lineRule="auto"/>
        <w:ind w:left="714" w:hanging="357"/>
        <w:rPr>
          <w:rFonts w:ascii="Kohinoor Devanagari" w:hAnsi="Kohinoor Devanagari" w:cs="Kohinoor Devanagari"/>
          <w:sz w:val="22"/>
          <w:szCs w:val="22"/>
        </w:rPr>
      </w:pPr>
      <w:r w:rsidRPr="00120990">
        <w:rPr>
          <w:rStyle w:val="Strong"/>
          <w:rFonts w:ascii="Kohinoor Devanagari" w:hAnsi="Kohinoor Devanagari" w:cs="Kohinoor Devanagari"/>
          <w:b w:val="0"/>
          <w:bCs w:val="0"/>
          <w:sz w:val="22"/>
          <w:szCs w:val="22"/>
        </w:rPr>
        <w:t>The statutory process for awarding and transferring licenses</w:t>
      </w:r>
      <w:r w:rsidRPr="00120990">
        <w:rPr>
          <w:rFonts w:ascii="Kohinoor Devanagari" w:hAnsi="Kohinoor Devanagari" w:cs="Kohinoor Devanagari"/>
          <w:sz w:val="22"/>
          <w:szCs w:val="22"/>
        </w:rPr>
        <w:t>.</w:t>
      </w:r>
    </w:p>
    <w:p w14:paraId="6831459F" w14:textId="77777777" w:rsidR="008E46D5" w:rsidRPr="00120990" w:rsidRDefault="008E46D5" w:rsidP="008E46D5">
      <w:pPr>
        <w:numPr>
          <w:ilvl w:val="0"/>
          <w:numId w:val="56"/>
        </w:numPr>
        <w:spacing w:before="120" w:after="120" w:line="240" w:lineRule="auto"/>
        <w:rPr>
          <w:rFonts w:ascii="Kohinoor Devanagari" w:hAnsi="Kohinoor Devanagari" w:cs="Kohinoor Devanagari"/>
          <w:sz w:val="22"/>
          <w:szCs w:val="22"/>
        </w:rPr>
      </w:pPr>
      <w:r w:rsidRPr="00120990">
        <w:rPr>
          <w:rStyle w:val="Strong"/>
          <w:rFonts w:ascii="Kohinoor Devanagari" w:hAnsi="Kohinoor Devanagari" w:cs="Kohinoor Devanagari"/>
          <w:b w:val="0"/>
          <w:bCs w:val="0"/>
          <w:sz w:val="22"/>
          <w:szCs w:val="22"/>
        </w:rPr>
        <w:t>Technical and financial criteria used</w:t>
      </w:r>
      <w:r w:rsidRPr="00120990">
        <w:rPr>
          <w:rFonts w:ascii="Kohinoor Devanagari" w:hAnsi="Kohinoor Devanagari" w:cs="Kohinoor Devanagari"/>
          <w:sz w:val="22"/>
          <w:szCs w:val="22"/>
        </w:rPr>
        <w:t xml:space="preserve"> in evaluations.</w:t>
      </w:r>
    </w:p>
    <w:p w14:paraId="4548E5DD" w14:textId="77777777" w:rsidR="008E46D5" w:rsidRPr="00120990" w:rsidRDefault="008E46D5" w:rsidP="008E46D5">
      <w:pPr>
        <w:numPr>
          <w:ilvl w:val="0"/>
          <w:numId w:val="56"/>
        </w:numPr>
        <w:spacing w:before="120" w:after="120" w:line="240" w:lineRule="auto"/>
        <w:rPr>
          <w:rFonts w:ascii="Kohinoor Devanagari" w:hAnsi="Kohinoor Devanagari" w:cs="Kohinoor Devanagari"/>
          <w:sz w:val="22"/>
          <w:szCs w:val="22"/>
        </w:rPr>
      </w:pPr>
      <w:r w:rsidRPr="00120990">
        <w:rPr>
          <w:rStyle w:val="Strong"/>
          <w:rFonts w:ascii="Kohinoor Devanagari" w:hAnsi="Kohinoor Devanagari" w:cs="Kohinoor Devanagari"/>
          <w:b w:val="0"/>
          <w:bCs w:val="0"/>
          <w:sz w:val="22"/>
          <w:szCs w:val="22"/>
        </w:rPr>
        <w:t>Public disclosure of all awards and transfers</w:t>
      </w:r>
      <w:r w:rsidRPr="00120990">
        <w:rPr>
          <w:rFonts w:ascii="Kohinoor Devanagari" w:hAnsi="Kohinoor Devanagari" w:cs="Kohinoor Devanagari"/>
          <w:sz w:val="22"/>
          <w:szCs w:val="22"/>
        </w:rPr>
        <w:t>, including competitive licensing rounds and direct negotiations.</w:t>
      </w:r>
    </w:p>
    <w:p w14:paraId="18A727DA" w14:textId="77777777" w:rsidR="008E46D5" w:rsidRPr="00A3573B" w:rsidRDefault="008E46D5" w:rsidP="008E46D5">
      <w:pPr>
        <w:rPr>
          <w:rFonts w:ascii="Kohinoor Devanagari" w:hAnsi="Kohinoor Devanagari" w:cs="Kohinoor Devanagari"/>
          <w:b/>
          <w:bCs/>
          <w:sz w:val="22"/>
          <w:szCs w:val="22"/>
        </w:rPr>
      </w:pPr>
      <w:r w:rsidRPr="00A3573B">
        <w:rPr>
          <w:rFonts w:ascii="Kohinoor Devanagari" w:hAnsi="Kohinoor Devanagari" w:cs="Kohinoor Devanagari"/>
          <w:b/>
          <w:bCs/>
          <w:sz w:val="22"/>
          <w:szCs w:val="22"/>
        </w:rPr>
        <w:t>Data Disclosure Requirements</w:t>
      </w:r>
    </w:p>
    <w:tbl>
      <w:tblPr>
        <w:tblStyle w:val="TableGrid"/>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251"/>
        <w:gridCol w:w="1720"/>
        <w:gridCol w:w="1460"/>
        <w:gridCol w:w="1523"/>
        <w:gridCol w:w="1174"/>
        <w:gridCol w:w="997"/>
        <w:gridCol w:w="1213"/>
      </w:tblGrid>
      <w:tr w:rsidR="00845DCF" w:rsidRPr="00845DCF" w14:paraId="07D35EFD" w14:textId="77777777" w:rsidTr="00845DCF">
        <w:trPr>
          <w:tblHeader/>
        </w:trPr>
        <w:tc>
          <w:tcPr>
            <w:tcW w:w="0" w:type="auto"/>
            <w:shd w:val="clear" w:color="auto" w:fill="748A96"/>
            <w:hideMark/>
          </w:tcPr>
          <w:p w14:paraId="5FB0A47E" w14:textId="77777777" w:rsidR="008E46D5" w:rsidRPr="00C52386" w:rsidRDefault="008E46D5" w:rsidP="0092022E">
            <w:pPr>
              <w:spacing w:after="160" w:line="278" w:lineRule="auto"/>
              <w:rPr>
                <w:rFonts w:ascii="Calibri" w:hAnsi="Calibri" w:cs="Calibri"/>
                <w:b/>
                <w:bCs/>
                <w:color w:val="FFFFFF" w:themeColor="background1"/>
                <w:sz w:val="20"/>
                <w:szCs w:val="20"/>
              </w:rPr>
            </w:pPr>
            <w:r w:rsidRPr="00C52386">
              <w:rPr>
                <w:rFonts w:ascii="Calibri" w:hAnsi="Calibri" w:cs="Calibri"/>
                <w:b/>
                <w:bCs/>
                <w:color w:val="FFFFFF" w:themeColor="background1"/>
                <w:sz w:val="20"/>
                <w:szCs w:val="20"/>
              </w:rPr>
              <w:t>Data Type</w:t>
            </w:r>
          </w:p>
        </w:tc>
        <w:tc>
          <w:tcPr>
            <w:tcW w:w="0" w:type="auto"/>
            <w:shd w:val="clear" w:color="auto" w:fill="748A96"/>
            <w:hideMark/>
          </w:tcPr>
          <w:p w14:paraId="16A36EDC" w14:textId="77777777" w:rsidR="008E46D5" w:rsidRPr="00C52386" w:rsidRDefault="008E46D5" w:rsidP="0092022E">
            <w:pPr>
              <w:spacing w:after="160" w:line="278" w:lineRule="auto"/>
              <w:rPr>
                <w:rFonts w:ascii="Calibri" w:hAnsi="Calibri" w:cs="Calibri"/>
                <w:b/>
                <w:bCs/>
                <w:color w:val="FFFFFF" w:themeColor="background1"/>
                <w:sz w:val="20"/>
                <w:szCs w:val="20"/>
              </w:rPr>
            </w:pPr>
            <w:r w:rsidRPr="00C52386">
              <w:rPr>
                <w:rFonts w:ascii="Calibri" w:hAnsi="Calibri" w:cs="Calibri"/>
                <w:b/>
                <w:bCs/>
                <w:color w:val="FFFFFF" w:themeColor="background1"/>
                <w:sz w:val="20"/>
                <w:szCs w:val="20"/>
              </w:rPr>
              <w:t>Description</w:t>
            </w:r>
          </w:p>
        </w:tc>
        <w:tc>
          <w:tcPr>
            <w:tcW w:w="0" w:type="auto"/>
            <w:shd w:val="clear" w:color="auto" w:fill="748A96"/>
            <w:hideMark/>
          </w:tcPr>
          <w:p w14:paraId="16E0B5C8" w14:textId="77777777" w:rsidR="008E46D5" w:rsidRPr="00C52386" w:rsidRDefault="008E46D5" w:rsidP="0092022E">
            <w:pPr>
              <w:spacing w:after="160" w:line="278" w:lineRule="auto"/>
              <w:rPr>
                <w:rFonts w:ascii="Calibri" w:hAnsi="Calibri" w:cs="Calibri"/>
                <w:b/>
                <w:bCs/>
                <w:color w:val="FFFFFF" w:themeColor="background1"/>
                <w:sz w:val="20"/>
                <w:szCs w:val="20"/>
              </w:rPr>
            </w:pPr>
            <w:r w:rsidRPr="00C52386">
              <w:rPr>
                <w:rFonts w:ascii="Calibri" w:hAnsi="Calibri" w:cs="Calibri"/>
                <w:b/>
                <w:bCs/>
                <w:color w:val="FFFFFF" w:themeColor="background1"/>
                <w:sz w:val="20"/>
                <w:szCs w:val="20"/>
              </w:rPr>
              <w:t>Responsible Entities</w:t>
            </w:r>
          </w:p>
        </w:tc>
        <w:tc>
          <w:tcPr>
            <w:tcW w:w="0" w:type="auto"/>
            <w:shd w:val="clear" w:color="auto" w:fill="748A96"/>
            <w:hideMark/>
          </w:tcPr>
          <w:p w14:paraId="45AA748D" w14:textId="77777777" w:rsidR="008E46D5" w:rsidRPr="00C52386" w:rsidRDefault="008E46D5" w:rsidP="0092022E">
            <w:pPr>
              <w:spacing w:after="160" w:line="278" w:lineRule="auto"/>
              <w:rPr>
                <w:rFonts w:ascii="Calibri" w:hAnsi="Calibri" w:cs="Calibri"/>
                <w:b/>
                <w:bCs/>
                <w:color w:val="FFFFFF" w:themeColor="background1"/>
                <w:sz w:val="20"/>
                <w:szCs w:val="20"/>
              </w:rPr>
            </w:pPr>
            <w:r w:rsidRPr="00C52386">
              <w:rPr>
                <w:rFonts w:ascii="Calibri" w:hAnsi="Calibri" w:cs="Calibri"/>
                <w:b/>
                <w:bCs/>
                <w:color w:val="FFFFFF" w:themeColor="background1"/>
                <w:sz w:val="20"/>
                <w:szCs w:val="20"/>
              </w:rPr>
              <w:t>Disaggregation Level</w:t>
            </w:r>
          </w:p>
        </w:tc>
        <w:tc>
          <w:tcPr>
            <w:tcW w:w="0" w:type="auto"/>
            <w:shd w:val="clear" w:color="auto" w:fill="748A96"/>
            <w:hideMark/>
          </w:tcPr>
          <w:p w14:paraId="37461639" w14:textId="77777777" w:rsidR="008E46D5" w:rsidRPr="00C52386" w:rsidRDefault="008E46D5" w:rsidP="0092022E">
            <w:pPr>
              <w:spacing w:after="160" w:line="278" w:lineRule="auto"/>
              <w:rPr>
                <w:rFonts w:ascii="Calibri" w:hAnsi="Calibri" w:cs="Calibri"/>
                <w:b/>
                <w:bCs/>
                <w:color w:val="FFFFFF" w:themeColor="background1"/>
                <w:sz w:val="20"/>
                <w:szCs w:val="20"/>
              </w:rPr>
            </w:pPr>
            <w:r w:rsidRPr="00C52386">
              <w:rPr>
                <w:rFonts w:ascii="Calibri" w:hAnsi="Calibri" w:cs="Calibri"/>
                <w:b/>
                <w:bCs/>
                <w:color w:val="FFFFFF" w:themeColor="background1"/>
                <w:sz w:val="20"/>
                <w:szCs w:val="20"/>
              </w:rPr>
              <w:t>Frequency</w:t>
            </w:r>
          </w:p>
        </w:tc>
        <w:tc>
          <w:tcPr>
            <w:tcW w:w="0" w:type="auto"/>
            <w:shd w:val="clear" w:color="auto" w:fill="748A96"/>
            <w:hideMark/>
          </w:tcPr>
          <w:p w14:paraId="16CF49BF" w14:textId="77777777" w:rsidR="008E46D5" w:rsidRPr="00C52386" w:rsidRDefault="008E46D5" w:rsidP="0092022E">
            <w:pPr>
              <w:spacing w:after="160" w:line="278" w:lineRule="auto"/>
              <w:rPr>
                <w:rFonts w:ascii="Calibri" w:hAnsi="Calibri" w:cs="Calibri"/>
                <w:b/>
                <w:bCs/>
                <w:color w:val="FFFFFF" w:themeColor="background1"/>
                <w:sz w:val="20"/>
                <w:szCs w:val="20"/>
              </w:rPr>
            </w:pPr>
            <w:r w:rsidRPr="00C52386">
              <w:rPr>
                <w:rFonts w:ascii="Calibri" w:hAnsi="Calibri" w:cs="Calibri"/>
                <w:b/>
                <w:bCs/>
                <w:color w:val="FFFFFF" w:themeColor="background1"/>
                <w:sz w:val="20"/>
                <w:szCs w:val="20"/>
              </w:rPr>
              <w:t>Format</w:t>
            </w:r>
          </w:p>
        </w:tc>
        <w:tc>
          <w:tcPr>
            <w:tcW w:w="0" w:type="auto"/>
            <w:shd w:val="clear" w:color="auto" w:fill="748A96"/>
            <w:hideMark/>
          </w:tcPr>
          <w:p w14:paraId="294CF157" w14:textId="77777777" w:rsidR="008E46D5" w:rsidRPr="00C52386" w:rsidRDefault="008E46D5" w:rsidP="0092022E">
            <w:pPr>
              <w:spacing w:after="160" w:line="278" w:lineRule="auto"/>
              <w:rPr>
                <w:rFonts w:ascii="Calibri" w:hAnsi="Calibri" w:cs="Calibri"/>
                <w:b/>
                <w:bCs/>
                <w:color w:val="FFFFFF" w:themeColor="background1"/>
                <w:sz w:val="20"/>
                <w:szCs w:val="20"/>
              </w:rPr>
            </w:pPr>
            <w:r w:rsidRPr="00C52386">
              <w:rPr>
                <w:rFonts w:ascii="Calibri" w:hAnsi="Calibri" w:cs="Calibri"/>
                <w:b/>
                <w:bCs/>
                <w:color w:val="FFFFFF" w:themeColor="background1"/>
                <w:sz w:val="20"/>
                <w:szCs w:val="20"/>
              </w:rPr>
              <w:t>Publication Channels</w:t>
            </w:r>
          </w:p>
        </w:tc>
      </w:tr>
      <w:tr w:rsidR="008E46D5" w:rsidRPr="0047083A" w14:paraId="79F9854C" w14:textId="77777777" w:rsidTr="0092022E">
        <w:tc>
          <w:tcPr>
            <w:tcW w:w="0" w:type="auto"/>
            <w:hideMark/>
          </w:tcPr>
          <w:p w14:paraId="52EFD538" w14:textId="77777777" w:rsidR="008E46D5" w:rsidRPr="0047083A" w:rsidRDefault="008E46D5" w:rsidP="0092022E">
            <w:pPr>
              <w:spacing w:after="160" w:line="278" w:lineRule="auto"/>
              <w:rPr>
                <w:rFonts w:ascii="Calibri" w:hAnsi="Calibri" w:cs="Calibri"/>
                <w:sz w:val="20"/>
                <w:szCs w:val="20"/>
              </w:rPr>
            </w:pPr>
            <w:r w:rsidRPr="0047083A">
              <w:rPr>
                <w:rFonts w:ascii="Calibri" w:hAnsi="Calibri" w:cs="Calibri"/>
                <w:sz w:val="20"/>
                <w:szCs w:val="20"/>
              </w:rPr>
              <w:t>Statutory Procedures for License Awards and Transfers</w:t>
            </w:r>
          </w:p>
        </w:tc>
        <w:tc>
          <w:tcPr>
            <w:tcW w:w="0" w:type="auto"/>
            <w:hideMark/>
          </w:tcPr>
          <w:p w14:paraId="55D39FDB" w14:textId="77777777" w:rsidR="008E46D5" w:rsidRPr="0047083A" w:rsidRDefault="008E46D5" w:rsidP="0092022E">
            <w:pPr>
              <w:spacing w:after="160" w:line="278" w:lineRule="auto"/>
              <w:rPr>
                <w:rFonts w:ascii="Calibri" w:hAnsi="Calibri" w:cs="Calibri"/>
                <w:sz w:val="20"/>
                <w:szCs w:val="20"/>
              </w:rPr>
            </w:pPr>
            <w:r w:rsidRPr="0047083A">
              <w:rPr>
                <w:rFonts w:ascii="Calibri" w:hAnsi="Calibri" w:cs="Calibri"/>
                <w:sz w:val="20"/>
                <w:szCs w:val="20"/>
              </w:rPr>
              <w:t>Public description of the legal framework and criteria for awarding and transferring extractive licenses.</w:t>
            </w:r>
          </w:p>
        </w:tc>
        <w:tc>
          <w:tcPr>
            <w:tcW w:w="0" w:type="auto"/>
            <w:hideMark/>
          </w:tcPr>
          <w:p w14:paraId="32A87E95" w14:textId="77777777" w:rsidR="008E46D5" w:rsidRPr="0047083A" w:rsidRDefault="008E46D5" w:rsidP="0092022E">
            <w:pPr>
              <w:spacing w:after="160" w:line="278" w:lineRule="auto"/>
              <w:rPr>
                <w:rFonts w:ascii="Calibri" w:hAnsi="Calibri" w:cs="Calibri"/>
                <w:sz w:val="20"/>
                <w:szCs w:val="20"/>
              </w:rPr>
            </w:pPr>
            <w:r w:rsidRPr="0047083A">
              <w:rPr>
                <w:rFonts w:ascii="Calibri" w:hAnsi="Calibri" w:cs="Calibri"/>
                <w:sz w:val="20"/>
                <w:szCs w:val="20"/>
              </w:rPr>
              <w:t>Ministry of Oil, Ministry of Industry and Minerals, Ministry of Natural Resources (KRG), EITI Iraq MSG</w:t>
            </w:r>
          </w:p>
        </w:tc>
        <w:tc>
          <w:tcPr>
            <w:tcW w:w="0" w:type="auto"/>
            <w:hideMark/>
          </w:tcPr>
          <w:p w14:paraId="050CF4CC" w14:textId="77777777" w:rsidR="008E46D5" w:rsidRPr="0047083A" w:rsidRDefault="008E46D5" w:rsidP="0092022E">
            <w:pPr>
              <w:spacing w:after="160" w:line="278" w:lineRule="auto"/>
              <w:rPr>
                <w:rFonts w:ascii="Calibri" w:hAnsi="Calibri" w:cs="Calibri"/>
                <w:sz w:val="20"/>
                <w:szCs w:val="20"/>
              </w:rPr>
            </w:pPr>
            <w:r w:rsidRPr="0047083A">
              <w:rPr>
                <w:rFonts w:ascii="Calibri" w:hAnsi="Calibri" w:cs="Calibri"/>
                <w:sz w:val="20"/>
                <w:szCs w:val="20"/>
              </w:rPr>
              <w:t>National and KRG levels</w:t>
            </w:r>
          </w:p>
        </w:tc>
        <w:tc>
          <w:tcPr>
            <w:tcW w:w="0" w:type="auto"/>
            <w:hideMark/>
          </w:tcPr>
          <w:p w14:paraId="5D17E157" w14:textId="77777777" w:rsidR="008E46D5" w:rsidRPr="0047083A" w:rsidRDefault="008E46D5" w:rsidP="0092022E">
            <w:pPr>
              <w:spacing w:after="160" w:line="278" w:lineRule="auto"/>
              <w:rPr>
                <w:rFonts w:ascii="Calibri" w:hAnsi="Calibri" w:cs="Calibri"/>
                <w:sz w:val="20"/>
                <w:szCs w:val="20"/>
              </w:rPr>
            </w:pPr>
            <w:r w:rsidRPr="0047083A">
              <w:rPr>
                <w:rFonts w:ascii="Calibri" w:hAnsi="Calibri" w:cs="Calibri"/>
                <w:sz w:val="20"/>
                <w:szCs w:val="20"/>
              </w:rPr>
              <w:t>Annually &amp; Upon Update</w:t>
            </w:r>
          </w:p>
        </w:tc>
        <w:tc>
          <w:tcPr>
            <w:tcW w:w="0" w:type="auto"/>
            <w:hideMark/>
          </w:tcPr>
          <w:p w14:paraId="782CBF63" w14:textId="77777777" w:rsidR="008E46D5" w:rsidRPr="0047083A" w:rsidRDefault="008E46D5" w:rsidP="0092022E">
            <w:pPr>
              <w:spacing w:after="160" w:line="278" w:lineRule="auto"/>
              <w:rPr>
                <w:rFonts w:ascii="Calibri" w:hAnsi="Calibri" w:cs="Calibri"/>
                <w:sz w:val="20"/>
                <w:szCs w:val="20"/>
              </w:rPr>
            </w:pPr>
            <w:r w:rsidRPr="001C166B">
              <w:rPr>
                <w:rFonts w:ascii="Calibri" w:hAnsi="Calibri" w:cs="Calibri"/>
                <w:b/>
                <w:bCs/>
                <w:sz w:val="20"/>
                <w:szCs w:val="20"/>
              </w:rPr>
              <w:t>HTML, CSV</w:t>
            </w:r>
            <w:r w:rsidRPr="001C166B">
              <w:rPr>
                <w:rFonts w:ascii="Calibri" w:hAnsi="Calibri" w:cs="Calibri"/>
                <w:sz w:val="20"/>
                <w:szCs w:val="20"/>
              </w:rPr>
              <w:t xml:space="preserve"> (PDF optional)</w:t>
            </w:r>
          </w:p>
        </w:tc>
        <w:tc>
          <w:tcPr>
            <w:tcW w:w="0" w:type="auto"/>
            <w:hideMark/>
          </w:tcPr>
          <w:p w14:paraId="67B731AC" w14:textId="61CDB146" w:rsidR="008E46D5" w:rsidRPr="0047083A" w:rsidRDefault="008E46D5" w:rsidP="0092022E">
            <w:pPr>
              <w:spacing w:after="160" w:line="278" w:lineRule="auto"/>
              <w:rPr>
                <w:rFonts w:ascii="Calibri" w:hAnsi="Calibri" w:cs="Calibri"/>
                <w:sz w:val="20"/>
                <w:szCs w:val="20"/>
              </w:rPr>
            </w:pPr>
            <w:r w:rsidRPr="0047083A">
              <w:rPr>
                <w:rFonts w:ascii="Calibri" w:hAnsi="Calibri" w:cs="Calibri"/>
                <w:sz w:val="20"/>
                <w:szCs w:val="20"/>
              </w:rPr>
              <w:t xml:space="preserve">Ministry websites, </w:t>
            </w:r>
            <w:r w:rsidR="00BA7FD3">
              <w:rPr>
                <w:rFonts w:ascii="Calibri" w:eastAsia="Times New Roman" w:hAnsi="Calibri" w:cs="Calibri"/>
                <w:color w:val="0D0D0D"/>
                <w:kern w:val="0"/>
                <w:sz w:val="20"/>
                <w:szCs w:val="20"/>
                <w:lang w:eastAsia="fr-FR"/>
                <w14:ligatures w14:val="none"/>
              </w:rPr>
              <w:t>NRTC</w:t>
            </w:r>
            <w:r w:rsidRPr="0047083A">
              <w:rPr>
                <w:rFonts w:ascii="Calibri" w:hAnsi="Calibri" w:cs="Calibri"/>
                <w:sz w:val="20"/>
                <w:szCs w:val="20"/>
              </w:rPr>
              <w:t xml:space="preserve"> Iraq portal</w:t>
            </w:r>
          </w:p>
        </w:tc>
      </w:tr>
      <w:tr w:rsidR="008E46D5" w:rsidRPr="0047083A" w14:paraId="59B09025" w14:textId="77777777" w:rsidTr="0092022E">
        <w:tc>
          <w:tcPr>
            <w:tcW w:w="0" w:type="auto"/>
            <w:hideMark/>
          </w:tcPr>
          <w:p w14:paraId="747BB170" w14:textId="77777777" w:rsidR="008E46D5" w:rsidRPr="0047083A" w:rsidRDefault="008E46D5" w:rsidP="0092022E">
            <w:pPr>
              <w:spacing w:after="160" w:line="278" w:lineRule="auto"/>
              <w:rPr>
                <w:rFonts w:ascii="Calibri" w:hAnsi="Calibri" w:cs="Calibri"/>
                <w:sz w:val="20"/>
                <w:szCs w:val="20"/>
              </w:rPr>
            </w:pPr>
            <w:r w:rsidRPr="0047083A">
              <w:rPr>
                <w:rFonts w:ascii="Calibri" w:hAnsi="Calibri" w:cs="Calibri"/>
                <w:sz w:val="20"/>
                <w:szCs w:val="20"/>
              </w:rPr>
              <w:t>Technical and Financial Criteria for Licensing</w:t>
            </w:r>
          </w:p>
        </w:tc>
        <w:tc>
          <w:tcPr>
            <w:tcW w:w="0" w:type="auto"/>
            <w:hideMark/>
          </w:tcPr>
          <w:p w14:paraId="48530734" w14:textId="77777777" w:rsidR="008E46D5" w:rsidRPr="0047083A" w:rsidRDefault="008E46D5" w:rsidP="0092022E">
            <w:pPr>
              <w:spacing w:after="160" w:line="278" w:lineRule="auto"/>
              <w:rPr>
                <w:rFonts w:ascii="Calibri" w:hAnsi="Calibri" w:cs="Calibri"/>
                <w:sz w:val="20"/>
                <w:szCs w:val="20"/>
              </w:rPr>
            </w:pPr>
            <w:r w:rsidRPr="0047083A">
              <w:rPr>
                <w:rFonts w:ascii="Calibri" w:hAnsi="Calibri" w:cs="Calibri"/>
                <w:sz w:val="20"/>
                <w:szCs w:val="20"/>
              </w:rPr>
              <w:t>Detailed criteria used to evaluate applicants in licensing rounds and direct negotiations.</w:t>
            </w:r>
          </w:p>
        </w:tc>
        <w:tc>
          <w:tcPr>
            <w:tcW w:w="0" w:type="auto"/>
            <w:hideMark/>
          </w:tcPr>
          <w:p w14:paraId="344836EC" w14:textId="77777777" w:rsidR="008E46D5" w:rsidRPr="0047083A" w:rsidRDefault="008E46D5" w:rsidP="0092022E">
            <w:pPr>
              <w:spacing w:after="160" w:line="278" w:lineRule="auto"/>
              <w:rPr>
                <w:rFonts w:ascii="Calibri" w:hAnsi="Calibri" w:cs="Calibri"/>
                <w:sz w:val="20"/>
                <w:szCs w:val="20"/>
              </w:rPr>
            </w:pPr>
            <w:r w:rsidRPr="0047083A">
              <w:rPr>
                <w:rFonts w:ascii="Calibri" w:hAnsi="Calibri" w:cs="Calibri"/>
                <w:sz w:val="20"/>
                <w:szCs w:val="20"/>
              </w:rPr>
              <w:t>Ministry of Oil, Ministry of Industry and Minerals, Ministry of Natural Resources (KRG)</w:t>
            </w:r>
          </w:p>
        </w:tc>
        <w:tc>
          <w:tcPr>
            <w:tcW w:w="0" w:type="auto"/>
            <w:hideMark/>
          </w:tcPr>
          <w:p w14:paraId="516FDE30" w14:textId="77777777" w:rsidR="008E46D5" w:rsidRPr="0047083A" w:rsidRDefault="008E46D5" w:rsidP="0092022E">
            <w:pPr>
              <w:spacing w:after="160" w:line="278" w:lineRule="auto"/>
              <w:rPr>
                <w:rFonts w:ascii="Calibri" w:hAnsi="Calibri" w:cs="Calibri"/>
                <w:sz w:val="20"/>
                <w:szCs w:val="20"/>
              </w:rPr>
            </w:pPr>
            <w:r w:rsidRPr="0047083A">
              <w:rPr>
                <w:rFonts w:ascii="Calibri" w:hAnsi="Calibri" w:cs="Calibri"/>
                <w:sz w:val="20"/>
                <w:szCs w:val="20"/>
              </w:rPr>
              <w:t>By licensing round and company</w:t>
            </w:r>
          </w:p>
        </w:tc>
        <w:tc>
          <w:tcPr>
            <w:tcW w:w="0" w:type="auto"/>
            <w:hideMark/>
          </w:tcPr>
          <w:p w14:paraId="4BABCB34" w14:textId="77777777" w:rsidR="008E46D5" w:rsidRPr="0047083A" w:rsidRDefault="008E46D5" w:rsidP="0092022E">
            <w:pPr>
              <w:spacing w:after="160" w:line="278" w:lineRule="auto"/>
              <w:rPr>
                <w:rFonts w:ascii="Calibri" w:hAnsi="Calibri" w:cs="Calibri"/>
                <w:sz w:val="20"/>
                <w:szCs w:val="20"/>
              </w:rPr>
            </w:pPr>
            <w:r w:rsidRPr="0047083A">
              <w:rPr>
                <w:rFonts w:ascii="Calibri" w:hAnsi="Calibri" w:cs="Calibri"/>
                <w:sz w:val="20"/>
                <w:szCs w:val="20"/>
              </w:rPr>
              <w:t>Upon licensing</w:t>
            </w:r>
          </w:p>
        </w:tc>
        <w:tc>
          <w:tcPr>
            <w:tcW w:w="0" w:type="auto"/>
            <w:hideMark/>
          </w:tcPr>
          <w:p w14:paraId="189F55B9" w14:textId="77777777" w:rsidR="008E46D5" w:rsidRPr="0047083A" w:rsidRDefault="008E46D5" w:rsidP="0092022E">
            <w:pPr>
              <w:spacing w:after="160" w:line="278" w:lineRule="auto"/>
              <w:rPr>
                <w:rFonts w:ascii="Calibri" w:hAnsi="Calibri" w:cs="Calibri"/>
                <w:sz w:val="20"/>
                <w:szCs w:val="20"/>
              </w:rPr>
            </w:pPr>
            <w:r w:rsidRPr="00DA6BC7">
              <w:rPr>
                <w:rFonts w:ascii="Calibri" w:hAnsi="Calibri" w:cs="Calibri"/>
                <w:sz w:val="20"/>
                <w:szCs w:val="20"/>
              </w:rPr>
              <w:t>CSV, HTML</w:t>
            </w:r>
          </w:p>
        </w:tc>
        <w:tc>
          <w:tcPr>
            <w:tcW w:w="0" w:type="auto"/>
            <w:hideMark/>
          </w:tcPr>
          <w:p w14:paraId="33A846CA" w14:textId="6DCA96D2" w:rsidR="008E46D5" w:rsidRPr="0047083A" w:rsidRDefault="00F27FE9" w:rsidP="0092022E">
            <w:pPr>
              <w:spacing w:after="160" w:line="278" w:lineRule="auto"/>
              <w:rPr>
                <w:rFonts w:ascii="Calibri" w:hAnsi="Calibri" w:cs="Calibri"/>
                <w:sz w:val="20"/>
                <w:szCs w:val="20"/>
              </w:rPr>
            </w:pPr>
            <w:r>
              <w:rPr>
                <w:rFonts w:ascii="Calibri" w:hAnsi="Calibri" w:cs="Calibri"/>
                <w:sz w:val="20"/>
                <w:szCs w:val="20"/>
              </w:rPr>
              <w:t>NRTC</w:t>
            </w:r>
            <w:r w:rsidR="008E46D5" w:rsidRPr="0047083A">
              <w:rPr>
                <w:rFonts w:ascii="Calibri" w:hAnsi="Calibri" w:cs="Calibri"/>
                <w:sz w:val="20"/>
                <w:szCs w:val="20"/>
              </w:rPr>
              <w:t xml:space="preserve"> Iraq portal</w:t>
            </w:r>
          </w:p>
        </w:tc>
      </w:tr>
      <w:tr w:rsidR="008E46D5" w:rsidRPr="0047083A" w14:paraId="04ECEBA7" w14:textId="77777777" w:rsidTr="0092022E">
        <w:tc>
          <w:tcPr>
            <w:tcW w:w="0" w:type="auto"/>
            <w:hideMark/>
          </w:tcPr>
          <w:p w14:paraId="6596B055" w14:textId="77777777" w:rsidR="008E46D5" w:rsidRPr="0047083A" w:rsidRDefault="008E46D5" w:rsidP="0092022E">
            <w:pPr>
              <w:spacing w:after="160" w:line="278" w:lineRule="auto"/>
              <w:rPr>
                <w:rFonts w:ascii="Calibri" w:hAnsi="Calibri" w:cs="Calibri"/>
                <w:sz w:val="20"/>
                <w:szCs w:val="20"/>
              </w:rPr>
            </w:pPr>
            <w:r w:rsidRPr="0047083A">
              <w:rPr>
                <w:rFonts w:ascii="Calibri" w:hAnsi="Calibri" w:cs="Calibri"/>
                <w:sz w:val="20"/>
                <w:szCs w:val="20"/>
              </w:rPr>
              <w:t>Bidder List and Awarded Contracts</w:t>
            </w:r>
          </w:p>
        </w:tc>
        <w:tc>
          <w:tcPr>
            <w:tcW w:w="0" w:type="auto"/>
            <w:hideMark/>
          </w:tcPr>
          <w:p w14:paraId="60F7A55D" w14:textId="77777777" w:rsidR="008E46D5" w:rsidRPr="0047083A" w:rsidRDefault="008E46D5" w:rsidP="0092022E">
            <w:pPr>
              <w:spacing w:after="160" w:line="278" w:lineRule="auto"/>
              <w:rPr>
                <w:rFonts w:ascii="Calibri" w:hAnsi="Calibri" w:cs="Calibri"/>
                <w:sz w:val="20"/>
                <w:szCs w:val="20"/>
              </w:rPr>
            </w:pPr>
            <w:r w:rsidRPr="0047083A">
              <w:rPr>
                <w:rFonts w:ascii="Calibri" w:hAnsi="Calibri" w:cs="Calibri"/>
                <w:sz w:val="20"/>
                <w:szCs w:val="20"/>
              </w:rPr>
              <w:t>List of all bidders, bid criteria, and selected applicants for competitive licensing rounds.</w:t>
            </w:r>
          </w:p>
        </w:tc>
        <w:tc>
          <w:tcPr>
            <w:tcW w:w="0" w:type="auto"/>
            <w:hideMark/>
          </w:tcPr>
          <w:p w14:paraId="178FBDA0" w14:textId="77777777" w:rsidR="008E46D5" w:rsidRPr="0047083A" w:rsidRDefault="008E46D5" w:rsidP="0092022E">
            <w:pPr>
              <w:spacing w:after="160" w:line="278" w:lineRule="auto"/>
              <w:rPr>
                <w:rFonts w:ascii="Calibri" w:hAnsi="Calibri" w:cs="Calibri"/>
                <w:sz w:val="20"/>
                <w:szCs w:val="20"/>
              </w:rPr>
            </w:pPr>
            <w:r w:rsidRPr="0047083A">
              <w:rPr>
                <w:rFonts w:ascii="Calibri" w:hAnsi="Calibri" w:cs="Calibri"/>
                <w:sz w:val="20"/>
                <w:szCs w:val="20"/>
              </w:rPr>
              <w:t>Ministry of Oil, Ministry of Industry and Minerals, Ministry of Natural Resources (KRG)</w:t>
            </w:r>
          </w:p>
        </w:tc>
        <w:tc>
          <w:tcPr>
            <w:tcW w:w="0" w:type="auto"/>
            <w:hideMark/>
          </w:tcPr>
          <w:p w14:paraId="006A58A1" w14:textId="77777777" w:rsidR="008E46D5" w:rsidRPr="0047083A" w:rsidRDefault="008E46D5" w:rsidP="0092022E">
            <w:pPr>
              <w:spacing w:after="160" w:line="278" w:lineRule="auto"/>
              <w:rPr>
                <w:rFonts w:ascii="Calibri" w:hAnsi="Calibri" w:cs="Calibri"/>
                <w:sz w:val="20"/>
                <w:szCs w:val="20"/>
              </w:rPr>
            </w:pPr>
            <w:r w:rsidRPr="0047083A">
              <w:rPr>
                <w:rFonts w:ascii="Calibri" w:hAnsi="Calibri" w:cs="Calibri"/>
                <w:sz w:val="20"/>
                <w:szCs w:val="20"/>
              </w:rPr>
              <w:t>By licensing round</w:t>
            </w:r>
          </w:p>
        </w:tc>
        <w:tc>
          <w:tcPr>
            <w:tcW w:w="0" w:type="auto"/>
            <w:hideMark/>
          </w:tcPr>
          <w:p w14:paraId="0AD6C021" w14:textId="77777777" w:rsidR="008E46D5" w:rsidRPr="0047083A" w:rsidRDefault="008E46D5" w:rsidP="0092022E">
            <w:pPr>
              <w:spacing w:after="160" w:line="278" w:lineRule="auto"/>
              <w:rPr>
                <w:rFonts w:ascii="Calibri" w:hAnsi="Calibri" w:cs="Calibri"/>
                <w:sz w:val="20"/>
                <w:szCs w:val="20"/>
              </w:rPr>
            </w:pPr>
            <w:r w:rsidRPr="0047083A">
              <w:rPr>
                <w:rFonts w:ascii="Calibri" w:hAnsi="Calibri" w:cs="Calibri"/>
                <w:sz w:val="20"/>
                <w:szCs w:val="20"/>
              </w:rPr>
              <w:t>Upon completion</w:t>
            </w:r>
          </w:p>
        </w:tc>
        <w:tc>
          <w:tcPr>
            <w:tcW w:w="0" w:type="auto"/>
            <w:hideMark/>
          </w:tcPr>
          <w:p w14:paraId="6B9568D6" w14:textId="77777777" w:rsidR="008E46D5" w:rsidRPr="0047083A" w:rsidRDefault="008E46D5" w:rsidP="0092022E">
            <w:pPr>
              <w:spacing w:after="160" w:line="278" w:lineRule="auto"/>
              <w:rPr>
                <w:rFonts w:ascii="Calibri" w:hAnsi="Calibri" w:cs="Calibri"/>
                <w:sz w:val="20"/>
                <w:szCs w:val="20"/>
              </w:rPr>
            </w:pPr>
            <w:r w:rsidRPr="00DA6BC7">
              <w:rPr>
                <w:rFonts w:ascii="Calibri" w:hAnsi="Calibri" w:cs="Calibri"/>
                <w:sz w:val="20"/>
                <w:szCs w:val="20"/>
              </w:rPr>
              <w:t>CSV, HTML</w:t>
            </w:r>
          </w:p>
        </w:tc>
        <w:tc>
          <w:tcPr>
            <w:tcW w:w="0" w:type="auto"/>
            <w:hideMark/>
          </w:tcPr>
          <w:p w14:paraId="5DE3BD95" w14:textId="5FE20B28" w:rsidR="008E46D5" w:rsidRPr="0047083A" w:rsidRDefault="00F27FE9" w:rsidP="0092022E">
            <w:pPr>
              <w:spacing w:after="160" w:line="278" w:lineRule="auto"/>
              <w:rPr>
                <w:rFonts w:ascii="Calibri" w:hAnsi="Calibri" w:cs="Calibri"/>
                <w:sz w:val="20"/>
                <w:szCs w:val="20"/>
              </w:rPr>
            </w:pPr>
            <w:r>
              <w:rPr>
                <w:rFonts w:ascii="Calibri" w:hAnsi="Calibri" w:cs="Calibri"/>
                <w:sz w:val="20"/>
                <w:szCs w:val="20"/>
              </w:rPr>
              <w:t>NRTC</w:t>
            </w:r>
            <w:r w:rsidR="008E46D5" w:rsidRPr="0047083A">
              <w:rPr>
                <w:rFonts w:ascii="Calibri" w:hAnsi="Calibri" w:cs="Calibri"/>
                <w:sz w:val="20"/>
                <w:szCs w:val="20"/>
              </w:rPr>
              <w:t xml:space="preserve"> Iraq portal, Ministry websites</w:t>
            </w:r>
          </w:p>
        </w:tc>
      </w:tr>
      <w:tr w:rsidR="008E46D5" w:rsidRPr="0047083A" w14:paraId="64C1D676" w14:textId="77777777" w:rsidTr="0092022E">
        <w:tc>
          <w:tcPr>
            <w:tcW w:w="0" w:type="auto"/>
            <w:hideMark/>
          </w:tcPr>
          <w:p w14:paraId="10191613" w14:textId="77777777" w:rsidR="008E46D5" w:rsidRPr="0047083A" w:rsidRDefault="008E46D5" w:rsidP="0092022E">
            <w:pPr>
              <w:spacing w:after="160" w:line="278" w:lineRule="auto"/>
              <w:rPr>
                <w:rFonts w:ascii="Calibri" w:hAnsi="Calibri" w:cs="Calibri"/>
                <w:sz w:val="20"/>
                <w:szCs w:val="20"/>
              </w:rPr>
            </w:pPr>
            <w:r w:rsidRPr="0047083A">
              <w:rPr>
                <w:rFonts w:ascii="Calibri" w:hAnsi="Calibri" w:cs="Calibri"/>
                <w:sz w:val="20"/>
                <w:szCs w:val="20"/>
              </w:rPr>
              <w:t>License and Contract Award Details</w:t>
            </w:r>
          </w:p>
        </w:tc>
        <w:tc>
          <w:tcPr>
            <w:tcW w:w="0" w:type="auto"/>
            <w:hideMark/>
          </w:tcPr>
          <w:p w14:paraId="2D70976B" w14:textId="77777777" w:rsidR="008E46D5" w:rsidRPr="0047083A" w:rsidRDefault="008E46D5" w:rsidP="0092022E">
            <w:pPr>
              <w:spacing w:after="160" w:line="278" w:lineRule="auto"/>
              <w:rPr>
                <w:rFonts w:ascii="Calibri" w:hAnsi="Calibri" w:cs="Calibri"/>
                <w:sz w:val="20"/>
                <w:szCs w:val="20"/>
              </w:rPr>
            </w:pPr>
            <w:r w:rsidRPr="0047083A">
              <w:rPr>
                <w:rFonts w:ascii="Calibri" w:hAnsi="Calibri" w:cs="Calibri"/>
                <w:sz w:val="20"/>
                <w:szCs w:val="20"/>
              </w:rPr>
              <w:t>Names of awarded companies, contract terms, and government counterparties.</w:t>
            </w:r>
          </w:p>
        </w:tc>
        <w:tc>
          <w:tcPr>
            <w:tcW w:w="0" w:type="auto"/>
            <w:hideMark/>
          </w:tcPr>
          <w:p w14:paraId="536DA668" w14:textId="77777777" w:rsidR="008E46D5" w:rsidRPr="0047083A" w:rsidRDefault="008E46D5" w:rsidP="0092022E">
            <w:pPr>
              <w:spacing w:after="160" w:line="278" w:lineRule="auto"/>
              <w:rPr>
                <w:rFonts w:ascii="Calibri" w:hAnsi="Calibri" w:cs="Calibri"/>
                <w:sz w:val="20"/>
                <w:szCs w:val="20"/>
              </w:rPr>
            </w:pPr>
            <w:r w:rsidRPr="0047083A">
              <w:rPr>
                <w:rFonts w:ascii="Calibri" w:hAnsi="Calibri" w:cs="Calibri"/>
                <w:sz w:val="20"/>
                <w:szCs w:val="20"/>
              </w:rPr>
              <w:t>Ministry of Oil, Ministry of Industry and Minerals, Ministry of Natural Resources (KRG)</w:t>
            </w:r>
          </w:p>
        </w:tc>
        <w:tc>
          <w:tcPr>
            <w:tcW w:w="0" w:type="auto"/>
            <w:hideMark/>
          </w:tcPr>
          <w:p w14:paraId="3095C903" w14:textId="77777777" w:rsidR="008E46D5" w:rsidRPr="0047083A" w:rsidRDefault="008E46D5" w:rsidP="0092022E">
            <w:pPr>
              <w:spacing w:after="160" w:line="278" w:lineRule="auto"/>
              <w:rPr>
                <w:rFonts w:ascii="Calibri" w:hAnsi="Calibri" w:cs="Calibri"/>
                <w:sz w:val="20"/>
                <w:szCs w:val="20"/>
              </w:rPr>
            </w:pPr>
            <w:r w:rsidRPr="0047083A">
              <w:rPr>
                <w:rFonts w:ascii="Calibri" w:hAnsi="Calibri" w:cs="Calibri"/>
                <w:sz w:val="20"/>
                <w:szCs w:val="20"/>
              </w:rPr>
              <w:t>By license, company, and project</w:t>
            </w:r>
          </w:p>
        </w:tc>
        <w:tc>
          <w:tcPr>
            <w:tcW w:w="0" w:type="auto"/>
            <w:hideMark/>
          </w:tcPr>
          <w:p w14:paraId="7D4D3AC6" w14:textId="77777777" w:rsidR="008E46D5" w:rsidRPr="0047083A" w:rsidRDefault="008E46D5" w:rsidP="0092022E">
            <w:pPr>
              <w:spacing w:after="160" w:line="278" w:lineRule="auto"/>
              <w:rPr>
                <w:rFonts w:ascii="Calibri" w:hAnsi="Calibri" w:cs="Calibri"/>
                <w:sz w:val="20"/>
                <w:szCs w:val="20"/>
              </w:rPr>
            </w:pPr>
            <w:r w:rsidRPr="0047083A">
              <w:rPr>
                <w:rFonts w:ascii="Calibri" w:hAnsi="Calibri" w:cs="Calibri"/>
                <w:sz w:val="20"/>
                <w:szCs w:val="20"/>
              </w:rPr>
              <w:t>Upon award &amp; updates</w:t>
            </w:r>
          </w:p>
        </w:tc>
        <w:tc>
          <w:tcPr>
            <w:tcW w:w="0" w:type="auto"/>
            <w:hideMark/>
          </w:tcPr>
          <w:p w14:paraId="16D4B119" w14:textId="77777777" w:rsidR="008E46D5" w:rsidRPr="0047083A" w:rsidRDefault="008E46D5" w:rsidP="0092022E">
            <w:pPr>
              <w:spacing w:after="160" w:line="278" w:lineRule="auto"/>
              <w:rPr>
                <w:rFonts w:ascii="Calibri" w:hAnsi="Calibri" w:cs="Calibri"/>
                <w:sz w:val="20"/>
                <w:szCs w:val="20"/>
              </w:rPr>
            </w:pPr>
            <w:r w:rsidRPr="00DA6BC7">
              <w:rPr>
                <w:rFonts w:ascii="Calibri" w:hAnsi="Calibri" w:cs="Calibri"/>
                <w:b/>
                <w:bCs/>
                <w:sz w:val="20"/>
                <w:szCs w:val="20"/>
              </w:rPr>
              <w:t>CSV, HTML</w:t>
            </w:r>
            <w:r w:rsidRPr="00DA6BC7">
              <w:rPr>
                <w:rFonts w:ascii="Calibri" w:hAnsi="Calibri" w:cs="Calibri"/>
                <w:sz w:val="20"/>
                <w:szCs w:val="20"/>
              </w:rPr>
              <w:t xml:space="preserve"> (PDF optional)</w:t>
            </w:r>
          </w:p>
        </w:tc>
        <w:tc>
          <w:tcPr>
            <w:tcW w:w="0" w:type="auto"/>
            <w:hideMark/>
          </w:tcPr>
          <w:p w14:paraId="789AC699" w14:textId="63152658" w:rsidR="008E46D5" w:rsidRPr="0047083A" w:rsidRDefault="00F27FE9" w:rsidP="0092022E">
            <w:pPr>
              <w:spacing w:after="160" w:line="278" w:lineRule="auto"/>
              <w:rPr>
                <w:rFonts w:ascii="Calibri" w:hAnsi="Calibri" w:cs="Calibri"/>
                <w:sz w:val="20"/>
                <w:szCs w:val="20"/>
              </w:rPr>
            </w:pPr>
            <w:r w:rsidRPr="00F27FE9">
              <w:rPr>
                <w:rFonts w:ascii="Calibri" w:hAnsi="Calibri" w:cs="Calibri"/>
                <w:sz w:val="20"/>
                <w:szCs w:val="20"/>
              </w:rPr>
              <w:t>NRTC</w:t>
            </w:r>
            <w:r w:rsidR="008E46D5" w:rsidRPr="0047083A">
              <w:rPr>
                <w:rFonts w:ascii="Calibri" w:hAnsi="Calibri" w:cs="Calibri"/>
                <w:sz w:val="20"/>
                <w:szCs w:val="20"/>
              </w:rPr>
              <w:t xml:space="preserve"> Iraq portal, Ministry websites</w:t>
            </w:r>
          </w:p>
        </w:tc>
      </w:tr>
      <w:tr w:rsidR="008E46D5" w:rsidRPr="0047083A" w14:paraId="18FFE5C4" w14:textId="77777777" w:rsidTr="0092022E">
        <w:tc>
          <w:tcPr>
            <w:tcW w:w="0" w:type="auto"/>
            <w:hideMark/>
          </w:tcPr>
          <w:p w14:paraId="7B4D68DF" w14:textId="77777777" w:rsidR="008E46D5" w:rsidRPr="0047083A" w:rsidRDefault="008E46D5" w:rsidP="0092022E">
            <w:pPr>
              <w:spacing w:after="160" w:line="278" w:lineRule="auto"/>
              <w:rPr>
                <w:rFonts w:ascii="Calibri" w:hAnsi="Calibri" w:cs="Calibri"/>
                <w:sz w:val="20"/>
                <w:szCs w:val="20"/>
              </w:rPr>
            </w:pPr>
            <w:r w:rsidRPr="0047083A">
              <w:rPr>
                <w:rFonts w:ascii="Calibri" w:hAnsi="Calibri" w:cs="Calibri"/>
                <w:sz w:val="20"/>
                <w:szCs w:val="20"/>
              </w:rPr>
              <w:t>Non-Trivial Deviations from Procedures</w:t>
            </w:r>
          </w:p>
        </w:tc>
        <w:tc>
          <w:tcPr>
            <w:tcW w:w="0" w:type="auto"/>
            <w:hideMark/>
          </w:tcPr>
          <w:p w14:paraId="63BD2474" w14:textId="77777777" w:rsidR="008E46D5" w:rsidRPr="0047083A" w:rsidRDefault="008E46D5" w:rsidP="0092022E">
            <w:pPr>
              <w:spacing w:after="160" w:line="278" w:lineRule="auto"/>
              <w:rPr>
                <w:rFonts w:ascii="Calibri" w:hAnsi="Calibri" w:cs="Calibri"/>
                <w:sz w:val="20"/>
                <w:szCs w:val="20"/>
              </w:rPr>
            </w:pPr>
            <w:r w:rsidRPr="0047083A">
              <w:rPr>
                <w:rFonts w:ascii="Calibri" w:hAnsi="Calibri" w:cs="Calibri"/>
                <w:sz w:val="20"/>
                <w:szCs w:val="20"/>
              </w:rPr>
              <w:t>Documentation of any material deviations from standard licensing and contract award procedures.</w:t>
            </w:r>
          </w:p>
        </w:tc>
        <w:tc>
          <w:tcPr>
            <w:tcW w:w="0" w:type="auto"/>
            <w:hideMark/>
          </w:tcPr>
          <w:p w14:paraId="6A2C5047" w14:textId="77777777" w:rsidR="008E46D5" w:rsidRPr="0047083A" w:rsidRDefault="008E46D5" w:rsidP="0092022E">
            <w:pPr>
              <w:spacing w:after="160" w:line="278" w:lineRule="auto"/>
              <w:rPr>
                <w:rFonts w:ascii="Calibri" w:hAnsi="Calibri" w:cs="Calibri"/>
                <w:sz w:val="20"/>
                <w:szCs w:val="20"/>
              </w:rPr>
            </w:pPr>
            <w:r w:rsidRPr="0047083A">
              <w:rPr>
                <w:rFonts w:ascii="Calibri" w:hAnsi="Calibri" w:cs="Calibri"/>
                <w:sz w:val="20"/>
                <w:szCs w:val="20"/>
              </w:rPr>
              <w:t>EITI Iraq MSG</w:t>
            </w:r>
          </w:p>
          <w:p w14:paraId="4110A157" w14:textId="77777777" w:rsidR="008E46D5" w:rsidRPr="0047083A" w:rsidRDefault="008E46D5" w:rsidP="0092022E">
            <w:pPr>
              <w:spacing w:after="160" w:line="278" w:lineRule="auto"/>
              <w:rPr>
                <w:rFonts w:ascii="Calibri" w:hAnsi="Calibri" w:cs="Calibri"/>
                <w:sz w:val="20"/>
                <w:szCs w:val="20"/>
              </w:rPr>
            </w:pPr>
            <w:r w:rsidRPr="0047083A">
              <w:rPr>
                <w:rFonts w:ascii="Calibri" w:hAnsi="Calibri" w:cs="Calibri"/>
                <w:sz w:val="20"/>
                <w:szCs w:val="20"/>
              </w:rPr>
              <w:t>FBSA</w:t>
            </w:r>
          </w:p>
        </w:tc>
        <w:tc>
          <w:tcPr>
            <w:tcW w:w="0" w:type="auto"/>
            <w:hideMark/>
          </w:tcPr>
          <w:p w14:paraId="360A4F83" w14:textId="77777777" w:rsidR="008E46D5" w:rsidRPr="0047083A" w:rsidRDefault="008E46D5" w:rsidP="0092022E">
            <w:pPr>
              <w:spacing w:after="160" w:line="278" w:lineRule="auto"/>
              <w:rPr>
                <w:rFonts w:ascii="Calibri" w:hAnsi="Calibri" w:cs="Calibri"/>
                <w:sz w:val="20"/>
                <w:szCs w:val="20"/>
              </w:rPr>
            </w:pPr>
            <w:r w:rsidRPr="0047083A">
              <w:rPr>
                <w:rFonts w:ascii="Calibri" w:hAnsi="Calibri" w:cs="Calibri"/>
                <w:sz w:val="20"/>
                <w:szCs w:val="20"/>
              </w:rPr>
              <w:t>By licensing round, company, and project</w:t>
            </w:r>
          </w:p>
        </w:tc>
        <w:tc>
          <w:tcPr>
            <w:tcW w:w="0" w:type="auto"/>
            <w:hideMark/>
          </w:tcPr>
          <w:p w14:paraId="44992450" w14:textId="77777777" w:rsidR="008E46D5" w:rsidRPr="0047083A" w:rsidRDefault="008E46D5" w:rsidP="0092022E">
            <w:pPr>
              <w:spacing w:after="160" w:line="278" w:lineRule="auto"/>
              <w:rPr>
                <w:rFonts w:ascii="Calibri" w:hAnsi="Calibri" w:cs="Calibri"/>
                <w:sz w:val="20"/>
                <w:szCs w:val="20"/>
              </w:rPr>
            </w:pPr>
            <w:r w:rsidRPr="0047083A">
              <w:rPr>
                <w:rFonts w:ascii="Calibri" w:hAnsi="Calibri" w:cs="Calibri"/>
                <w:sz w:val="20"/>
                <w:szCs w:val="20"/>
              </w:rPr>
              <w:t>Annually</w:t>
            </w:r>
          </w:p>
        </w:tc>
        <w:tc>
          <w:tcPr>
            <w:tcW w:w="0" w:type="auto"/>
            <w:hideMark/>
          </w:tcPr>
          <w:p w14:paraId="4212F518" w14:textId="77777777" w:rsidR="008E46D5" w:rsidRPr="0047083A" w:rsidRDefault="008E46D5" w:rsidP="0092022E">
            <w:pPr>
              <w:spacing w:after="160" w:line="278" w:lineRule="auto"/>
              <w:rPr>
                <w:rFonts w:ascii="Calibri" w:hAnsi="Calibri" w:cs="Calibri"/>
                <w:sz w:val="20"/>
                <w:szCs w:val="20"/>
              </w:rPr>
            </w:pPr>
            <w:r w:rsidRPr="00DA6BC7">
              <w:rPr>
                <w:rFonts w:ascii="Calibri" w:hAnsi="Calibri" w:cs="Calibri"/>
                <w:b/>
                <w:bCs/>
                <w:sz w:val="20"/>
                <w:szCs w:val="20"/>
              </w:rPr>
              <w:t>CSV, HTML</w:t>
            </w:r>
            <w:r w:rsidRPr="00DA6BC7">
              <w:rPr>
                <w:rFonts w:ascii="Calibri" w:hAnsi="Calibri" w:cs="Calibri"/>
                <w:sz w:val="20"/>
                <w:szCs w:val="20"/>
              </w:rPr>
              <w:t xml:space="preserve"> (PDF optional)</w:t>
            </w:r>
          </w:p>
        </w:tc>
        <w:tc>
          <w:tcPr>
            <w:tcW w:w="0" w:type="auto"/>
            <w:hideMark/>
          </w:tcPr>
          <w:p w14:paraId="6C516000" w14:textId="0A9E9C98" w:rsidR="008E46D5" w:rsidRPr="0047083A" w:rsidRDefault="00F27FE9" w:rsidP="0092022E">
            <w:pPr>
              <w:spacing w:after="160" w:line="278" w:lineRule="auto"/>
              <w:rPr>
                <w:rFonts w:ascii="Calibri" w:hAnsi="Calibri" w:cs="Calibri"/>
                <w:sz w:val="20"/>
                <w:szCs w:val="20"/>
              </w:rPr>
            </w:pPr>
            <w:r w:rsidRPr="00F27FE9">
              <w:rPr>
                <w:rFonts w:ascii="Calibri" w:hAnsi="Calibri" w:cs="Calibri"/>
                <w:sz w:val="20"/>
                <w:szCs w:val="20"/>
              </w:rPr>
              <w:t>NRTC</w:t>
            </w:r>
            <w:r w:rsidR="008E46D5" w:rsidRPr="0047083A">
              <w:rPr>
                <w:rFonts w:ascii="Calibri" w:hAnsi="Calibri" w:cs="Calibri"/>
                <w:sz w:val="20"/>
                <w:szCs w:val="20"/>
              </w:rPr>
              <w:t xml:space="preserve"> Iraq portal</w:t>
            </w:r>
          </w:p>
          <w:p w14:paraId="08DCC861" w14:textId="77777777" w:rsidR="008E46D5" w:rsidRPr="0047083A" w:rsidRDefault="008E46D5" w:rsidP="0092022E">
            <w:pPr>
              <w:spacing w:after="160" w:line="278" w:lineRule="auto"/>
              <w:rPr>
                <w:rFonts w:ascii="Calibri" w:hAnsi="Calibri" w:cs="Calibri"/>
                <w:sz w:val="20"/>
                <w:szCs w:val="20"/>
              </w:rPr>
            </w:pPr>
          </w:p>
        </w:tc>
      </w:tr>
    </w:tbl>
    <w:p w14:paraId="348BA582" w14:textId="5C054BA0" w:rsidR="009158AB" w:rsidRPr="009158AB" w:rsidRDefault="005F017B" w:rsidP="00536A4E">
      <w:pPr>
        <w:pStyle w:val="Heading4"/>
        <w:spacing w:before="120" w:after="120"/>
        <w:rPr>
          <w:rFonts w:ascii="Kohinoor Devanagari" w:hAnsi="Kohinoor Devanagari" w:cs="Kohinoor Devanagari"/>
          <w:b/>
          <w:bCs/>
          <w:sz w:val="22"/>
          <w:szCs w:val="22"/>
        </w:rPr>
      </w:pPr>
      <w:r>
        <w:rPr>
          <w:rFonts w:ascii="Kohinoor Devanagari" w:hAnsi="Kohinoor Devanagari" w:cs="Kohinoor Devanagari"/>
          <w:b/>
          <w:bCs/>
          <w:sz w:val="22"/>
          <w:szCs w:val="22"/>
        </w:rPr>
        <w:t>3.2.</w:t>
      </w:r>
      <w:r w:rsidRPr="009158AB">
        <w:rPr>
          <w:rFonts w:ascii="Kohinoor Devanagari" w:hAnsi="Kohinoor Devanagari" w:cs="Kohinoor Devanagari"/>
          <w:b/>
          <w:bCs/>
          <w:sz w:val="22"/>
          <w:szCs w:val="22"/>
        </w:rPr>
        <w:t xml:space="preserve"> License</w:t>
      </w:r>
      <w:r w:rsidR="009158AB" w:rsidRPr="009158AB">
        <w:rPr>
          <w:rFonts w:ascii="Kohinoor Devanagari" w:hAnsi="Kohinoor Devanagari" w:cs="Kohinoor Devanagari"/>
          <w:b/>
          <w:bCs/>
          <w:sz w:val="22"/>
          <w:szCs w:val="22"/>
        </w:rPr>
        <w:t xml:space="preserve"> Register (Requirement </w:t>
      </w:r>
      <w:r w:rsidR="00F12CF5" w:rsidRPr="009158AB">
        <w:rPr>
          <w:rFonts w:ascii="Kohinoor Devanagari" w:hAnsi="Kohinoor Devanagari" w:cs="Kohinoor Devanagari"/>
          <w:b/>
          <w:bCs/>
          <w:sz w:val="22"/>
          <w:szCs w:val="22"/>
        </w:rPr>
        <w:t>2.3)</w:t>
      </w:r>
    </w:p>
    <w:p w14:paraId="6C592A6A" w14:textId="28BD6743" w:rsidR="009158AB" w:rsidRPr="009158AB" w:rsidRDefault="009158AB" w:rsidP="009158AB">
      <w:pPr>
        <w:rPr>
          <w:rFonts w:ascii="Kohinoor Devanagari" w:hAnsi="Kohinoor Devanagari" w:cs="Kohinoor Devanagari"/>
          <w:b/>
          <w:bCs/>
          <w:sz w:val="22"/>
          <w:szCs w:val="22"/>
        </w:rPr>
      </w:pPr>
      <w:r w:rsidRPr="009158AB">
        <w:rPr>
          <w:rFonts w:ascii="Kohinoor Devanagari" w:hAnsi="Kohinoor Devanagari" w:cs="Kohinoor Devanagari"/>
          <w:b/>
          <w:bCs/>
          <w:sz w:val="22"/>
          <w:szCs w:val="22"/>
        </w:rPr>
        <w:t>Objective</w:t>
      </w:r>
    </w:p>
    <w:p w14:paraId="33BD1B92" w14:textId="77777777" w:rsidR="009158AB" w:rsidRPr="009158AB" w:rsidRDefault="009158AB" w:rsidP="002D3CD8">
      <w:pPr>
        <w:spacing w:after="120" w:line="240" w:lineRule="auto"/>
        <w:rPr>
          <w:rFonts w:ascii="Kohinoor Devanagari" w:hAnsi="Kohinoor Devanagari" w:cs="Kohinoor Devanagari"/>
          <w:sz w:val="22"/>
          <w:szCs w:val="22"/>
        </w:rPr>
      </w:pPr>
      <w:r w:rsidRPr="009158AB">
        <w:rPr>
          <w:rFonts w:ascii="Kohinoor Devanagari" w:hAnsi="Kohinoor Devanagari" w:cs="Kohinoor Devanagari"/>
          <w:sz w:val="22"/>
          <w:szCs w:val="22"/>
        </w:rPr>
        <w:t>This section ensures public access to a complete and updated register of all active oil, gas, and mining licenses, covering:</w:t>
      </w:r>
    </w:p>
    <w:p w14:paraId="78D77BA3" w14:textId="77777777" w:rsidR="009158AB" w:rsidRPr="009158AB" w:rsidRDefault="009158AB" w:rsidP="00FD2B68">
      <w:pPr>
        <w:numPr>
          <w:ilvl w:val="0"/>
          <w:numId w:val="57"/>
        </w:numPr>
        <w:spacing w:after="120" w:line="240" w:lineRule="auto"/>
        <w:rPr>
          <w:rFonts w:ascii="Kohinoor Devanagari" w:hAnsi="Kohinoor Devanagari" w:cs="Kohinoor Devanagari"/>
          <w:sz w:val="22"/>
          <w:szCs w:val="22"/>
        </w:rPr>
      </w:pPr>
      <w:r w:rsidRPr="009158AB">
        <w:rPr>
          <w:rFonts w:ascii="Kohinoor Devanagari" w:hAnsi="Kohinoor Devanagari" w:cs="Kohinoor Devanagari"/>
          <w:sz w:val="22"/>
          <w:szCs w:val="22"/>
        </w:rPr>
        <w:t>Ownership details and contract terms for each license.</w:t>
      </w:r>
    </w:p>
    <w:p w14:paraId="7DAF26FB" w14:textId="77777777" w:rsidR="009158AB" w:rsidRPr="009158AB" w:rsidRDefault="009158AB" w:rsidP="00FD2B68">
      <w:pPr>
        <w:numPr>
          <w:ilvl w:val="0"/>
          <w:numId w:val="57"/>
        </w:numPr>
        <w:spacing w:after="120" w:line="240" w:lineRule="auto"/>
        <w:rPr>
          <w:rFonts w:ascii="Kohinoor Devanagari" w:hAnsi="Kohinoor Devanagari" w:cs="Kohinoor Devanagari"/>
          <w:sz w:val="22"/>
          <w:szCs w:val="22"/>
        </w:rPr>
      </w:pPr>
      <w:r w:rsidRPr="009158AB">
        <w:rPr>
          <w:rFonts w:ascii="Kohinoor Devanagari" w:hAnsi="Kohinoor Devanagari" w:cs="Kohinoor Devanagari"/>
          <w:sz w:val="22"/>
          <w:szCs w:val="22"/>
        </w:rPr>
        <w:t>Geographic coordinates and duration of each license.</w:t>
      </w:r>
    </w:p>
    <w:p w14:paraId="4377544F" w14:textId="77777777" w:rsidR="009158AB" w:rsidRPr="009158AB" w:rsidRDefault="009158AB" w:rsidP="00FD2B68">
      <w:pPr>
        <w:numPr>
          <w:ilvl w:val="0"/>
          <w:numId w:val="57"/>
        </w:numPr>
        <w:spacing w:after="120" w:line="240" w:lineRule="auto"/>
        <w:rPr>
          <w:rFonts w:ascii="Kohinoor Devanagari" w:hAnsi="Kohinoor Devanagari" w:cs="Kohinoor Devanagari"/>
          <w:sz w:val="22"/>
          <w:szCs w:val="22"/>
        </w:rPr>
      </w:pPr>
      <w:r w:rsidRPr="009158AB">
        <w:rPr>
          <w:rFonts w:ascii="Kohinoor Devanagari" w:hAnsi="Kohinoor Devanagari" w:cs="Kohinoor Devanagari"/>
          <w:sz w:val="22"/>
          <w:szCs w:val="22"/>
        </w:rPr>
        <w:t>Regular updates to reflect changes in operatorship.</w:t>
      </w:r>
    </w:p>
    <w:p w14:paraId="5A086E26" w14:textId="5B155F54" w:rsidR="009158AB" w:rsidRPr="0047083A" w:rsidRDefault="009158AB" w:rsidP="009158AB">
      <w:pPr>
        <w:rPr>
          <w:rFonts w:ascii="Kohinoor Devanagari" w:hAnsi="Kohinoor Devanagari" w:cs="Kohinoor Devanagari"/>
          <w:b/>
          <w:bCs/>
          <w:sz w:val="22"/>
          <w:szCs w:val="22"/>
        </w:rPr>
      </w:pPr>
      <w:r w:rsidRPr="0047083A">
        <w:rPr>
          <w:rFonts w:ascii="Kohinoor Devanagari" w:hAnsi="Kohinoor Devanagari" w:cs="Kohinoor Devanagari"/>
          <w:b/>
          <w:bCs/>
          <w:sz w:val="22"/>
          <w:szCs w:val="22"/>
        </w:rPr>
        <w:t>Data Disclosure Requirements</w:t>
      </w:r>
    </w:p>
    <w:tbl>
      <w:tblPr>
        <w:tblStyle w:val="TableGrid"/>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700"/>
        <w:gridCol w:w="1399"/>
        <w:gridCol w:w="1553"/>
        <w:gridCol w:w="1519"/>
        <w:gridCol w:w="1152"/>
        <w:gridCol w:w="822"/>
        <w:gridCol w:w="1193"/>
      </w:tblGrid>
      <w:tr w:rsidR="00A31CD8" w:rsidRPr="00A31CD8" w14:paraId="656A0619" w14:textId="77777777" w:rsidTr="00A31CD8">
        <w:trPr>
          <w:tblHeader/>
        </w:trPr>
        <w:tc>
          <w:tcPr>
            <w:tcW w:w="0" w:type="auto"/>
            <w:shd w:val="clear" w:color="auto" w:fill="748A96"/>
            <w:hideMark/>
          </w:tcPr>
          <w:p w14:paraId="107697FA" w14:textId="77777777" w:rsidR="009158AB" w:rsidRPr="00C52386" w:rsidRDefault="009158AB" w:rsidP="009158AB">
            <w:pPr>
              <w:spacing w:after="160" w:line="278" w:lineRule="auto"/>
              <w:rPr>
                <w:rFonts w:ascii="Calibri" w:hAnsi="Calibri" w:cs="Calibri"/>
                <w:b/>
                <w:bCs/>
                <w:color w:val="FFFFFF" w:themeColor="background1"/>
                <w:sz w:val="20"/>
                <w:szCs w:val="20"/>
              </w:rPr>
            </w:pPr>
            <w:r w:rsidRPr="00C52386">
              <w:rPr>
                <w:rFonts w:ascii="Calibri" w:hAnsi="Calibri" w:cs="Calibri"/>
                <w:b/>
                <w:bCs/>
                <w:color w:val="FFFFFF" w:themeColor="background1"/>
                <w:sz w:val="20"/>
                <w:szCs w:val="20"/>
              </w:rPr>
              <w:t>Data Type</w:t>
            </w:r>
          </w:p>
        </w:tc>
        <w:tc>
          <w:tcPr>
            <w:tcW w:w="0" w:type="auto"/>
            <w:shd w:val="clear" w:color="auto" w:fill="748A96"/>
            <w:hideMark/>
          </w:tcPr>
          <w:p w14:paraId="30B10213" w14:textId="77777777" w:rsidR="009158AB" w:rsidRPr="00C52386" w:rsidRDefault="009158AB" w:rsidP="009158AB">
            <w:pPr>
              <w:spacing w:after="160" w:line="278" w:lineRule="auto"/>
              <w:rPr>
                <w:rFonts w:ascii="Calibri" w:hAnsi="Calibri" w:cs="Calibri"/>
                <w:b/>
                <w:bCs/>
                <w:color w:val="FFFFFF" w:themeColor="background1"/>
                <w:sz w:val="20"/>
                <w:szCs w:val="20"/>
              </w:rPr>
            </w:pPr>
            <w:r w:rsidRPr="00C52386">
              <w:rPr>
                <w:rFonts w:ascii="Calibri" w:hAnsi="Calibri" w:cs="Calibri"/>
                <w:b/>
                <w:bCs/>
                <w:color w:val="FFFFFF" w:themeColor="background1"/>
                <w:sz w:val="20"/>
                <w:szCs w:val="20"/>
              </w:rPr>
              <w:t>Description</w:t>
            </w:r>
          </w:p>
        </w:tc>
        <w:tc>
          <w:tcPr>
            <w:tcW w:w="0" w:type="auto"/>
            <w:shd w:val="clear" w:color="auto" w:fill="748A96"/>
            <w:hideMark/>
          </w:tcPr>
          <w:p w14:paraId="11A96BD8" w14:textId="77777777" w:rsidR="009158AB" w:rsidRPr="00C52386" w:rsidRDefault="009158AB" w:rsidP="009158AB">
            <w:pPr>
              <w:spacing w:after="160" w:line="278" w:lineRule="auto"/>
              <w:rPr>
                <w:rFonts w:ascii="Calibri" w:hAnsi="Calibri" w:cs="Calibri"/>
                <w:b/>
                <w:bCs/>
                <w:color w:val="FFFFFF" w:themeColor="background1"/>
                <w:sz w:val="20"/>
                <w:szCs w:val="20"/>
              </w:rPr>
            </w:pPr>
            <w:r w:rsidRPr="00C52386">
              <w:rPr>
                <w:rFonts w:ascii="Calibri" w:hAnsi="Calibri" w:cs="Calibri"/>
                <w:b/>
                <w:bCs/>
                <w:color w:val="FFFFFF" w:themeColor="background1"/>
                <w:sz w:val="20"/>
                <w:szCs w:val="20"/>
              </w:rPr>
              <w:t>Responsible Entities</w:t>
            </w:r>
          </w:p>
        </w:tc>
        <w:tc>
          <w:tcPr>
            <w:tcW w:w="0" w:type="auto"/>
            <w:shd w:val="clear" w:color="auto" w:fill="748A96"/>
            <w:hideMark/>
          </w:tcPr>
          <w:p w14:paraId="2B9B0840" w14:textId="77777777" w:rsidR="009158AB" w:rsidRPr="00C52386" w:rsidRDefault="009158AB" w:rsidP="009158AB">
            <w:pPr>
              <w:spacing w:after="160" w:line="278" w:lineRule="auto"/>
              <w:rPr>
                <w:rFonts w:ascii="Calibri" w:hAnsi="Calibri" w:cs="Calibri"/>
                <w:b/>
                <w:bCs/>
                <w:color w:val="FFFFFF" w:themeColor="background1"/>
                <w:sz w:val="20"/>
                <w:szCs w:val="20"/>
              </w:rPr>
            </w:pPr>
            <w:r w:rsidRPr="00C52386">
              <w:rPr>
                <w:rFonts w:ascii="Calibri" w:hAnsi="Calibri" w:cs="Calibri"/>
                <w:b/>
                <w:bCs/>
                <w:color w:val="FFFFFF" w:themeColor="background1"/>
                <w:sz w:val="20"/>
                <w:szCs w:val="20"/>
              </w:rPr>
              <w:t>Disaggregation Level</w:t>
            </w:r>
          </w:p>
        </w:tc>
        <w:tc>
          <w:tcPr>
            <w:tcW w:w="0" w:type="auto"/>
            <w:shd w:val="clear" w:color="auto" w:fill="748A96"/>
            <w:hideMark/>
          </w:tcPr>
          <w:p w14:paraId="75983D5D" w14:textId="77777777" w:rsidR="009158AB" w:rsidRPr="00C52386" w:rsidRDefault="009158AB" w:rsidP="009158AB">
            <w:pPr>
              <w:spacing w:after="160" w:line="278" w:lineRule="auto"/>
              <w:rPr>
                <w:rFonts w:ascii="Calibri" w:hAnsi="Calibri" w:cs="Calibri"/>
                <w:b/>
                <w:bCs/>
                <w:color w:val="FFFFFF" w:themeColor="background1"/>
                <w:sz w:val="20"/>
                <w:szCs w:val="20"/>
              </w:rPr>
            </w:pPr>
            <w:r w:rsidRPr="00C52386">
              <w:rPr>
                <w:rFonts w:ascii="Calibri" w:hAnsi="Calibri" w:cs="Calibri"/>
                <w:b/>
                <w:bCs/>
                <w:color w:val="FFFFFF" w:themeColor="background1"/>
                <w:sz w:val="20"/>
                <w:szCs w:val="20"/>
              </w:rPr>
              <w:t>Frequency</w:t>
            </w:r>
          </w:p>
        </w:tc>
        <w:tc>
          <w:tcPr>
            <w:tcW w:w="0" w:type="auto"/>
            <w:shd w:val="clear" w:color="auto" w:fill="748A96"/>
            <w:hideMark/>
          </w:tcPr>
          <w:p w14:paraId="6C7708E0" w14:textId="77777777" w:rsidR="009158AB" w:rsidRPr="00C52386" w:rsidRDefault="009158AB" w:rsidP="009158AB">
            <w:pPr>
              <w:spacing w:after="160" w:line="278" w:lineRule="auto"/>
              <w:rPr>
                <w:rFonts w:ascii="Calibri" w:hAnsi="Calibri" w:cs="Calibri"/>
                <w:b/>
                <w:bCs/>
                <w:color w:val="FFFFFF" w:themeColor="background1"/>
                <w:sz w:val="20"/>
                <w:szCs w:val="20"/>
              </w:rPr>
            </w:pPr>
            <w:r w:rsidRPr="00C52386">
              <w:rPr>
                <w:rFonts w:ascii="Calibri" w:hAnsi="Calibri" w:cs="Calibri"/>
                <w:b/>
                <w:bCs/>
                <w:color w:val="FFFFFF" w:themeColor="background1"/>
                <w:sz w:val="20"/>
                <w:szCs w:val="20"/>
              </w:rPr>
              <w:t>Format</w:t>
            </w:r>
          </w:p>
        </w:tc>
        <w:tc>
          <w:tcPr>
            <w:tcW w:w="0" w:type="auto"/>
            <w:shd w:val="clear" w:color="auto" w:fill="748A96"/>
            <w:hideMark/>
          </w:tcPr>
          <w:p w14:paraId="2D9C6F63" w14:textId="77777777" w:rsidR="009158AB" w:rsidRPr="00C52386" w:rsidRDefault="009158AB" w:rsidP="009158AB">
            <w:pPr>
              <w:spacing w:after="160" w:line="278" w:lineRule="auto"/>
              <w:rPr>
                <w:rFonts w:ascii="Calibri" w:hAnsi="Calibri" w:cs="Calibri"/>
                <w:b/>
                <w:bCs/>
                <w:color w:val="FFFFFF" w:themeColor="background1"/>
                <w:sz w:val="20"/>
                <w:szCs w:val="20"/>
              </w:rPr>
            </w:pPr>
            <w:r w:rsidRPr="00C52386">
              <w:rPr>
                <w:rFonts w:ascii="Calibri" w:hAnsi="Calibri" w:cs="Calibri"/>
                <w:b/>
                <w:bCs/>
                <w:color w:val="FFFFFF" w:themeColor="background1"/>
                <w:sz w:val="20"/>
                <w:szCs w:val="20"/>
              </w:rPr>
              <w:t>Publication Channels</w:t>
            </w:r>
          </w:p>
        </w:tc>
      </w:tr>
      <w:tr w:rsidR="00040A12" w:rsidRPr="0047083A" w14:paraId="43A9D715" w14:textId="77777777" w:rsidTr="00375FF2">
        <w:tc>
          <w:tcPr>
            <w:tcW w:w="0" w:type="auto"/>
            <w:hideMark/>
          </w:tcPr>
          <w:p w14:paraId="2F78E4D2" w14:textId="30D8D4B0" w:rsidR="004266DF" w:rsidRPr="0047083A" w:rsidRDefault="00040A12" w:rsidP="00040A12">
            <w:pPr>
              <w:spacing w:after="160" w:line="278" w:lineRule="auto"/>
              <w:rPr>
                <w:rFonts w:ascii="Calibri" w:hAnsi="Calibri" w:cs="Calibri"/>
                <w:sz w:val="20"/>
                <w:szCs w:val="20"/>
              </w:rPr>
            </w:pPr>
            <w:r w:rsidRPr="0047083A">
              <w:rPr>
                <w:rFonts w:ascii="Calibri" w:hAnsi="Calibri" w:cs="Calibri"/>
                <w:sz w:val="20"/>
                <w:szCs w:val="20"/>
              </w:rPr>
              <w:t>Public Register of Extractive Licenses (including Geographic Coordinates, Date of Application, Award, and Expiry)</w:t>
            </w:r>
          </w:p>
        </w:tc>
        <w:tc>
          <w:tcPr>
            <w:tcW w:w="0" w:type="auto"/>
            <w:hideMark/>
          </w:tcPr>
          <w:p w14:paraId="4BEF09CE" w14:textId="77777777" w:rsidR="009158AB" w:rsidRPr="0047083A" w:rsidRDefault="009158AB" w:rsidP="009158AB">
            <w:pPr>
              <w:spacing w:after="160" w:line="278" w:lineRule="auto"/>
              <w:rPr>
                <w:rFonts w:ascii="Calibri" w:hAnsi="Calibri" w:cs="Calibri"/>
                <w:sz w:val="20"/>
                <w:szCs w:val="20"/>
              </w:rPr>
            </w:pPr>
            <w:r w:rsidRPr="0047083A">
              <w:rPr>
                <w:rFonts w:ascii="Calibri" w:hAnsi="Calibri" w:cs="Calibri"/>
                <w:sz w:val="20"/>
                <w:szCs w:val="20"/>
              </w:rPr>
              <w:t>Regularly updated list of all active oil, gas, and mining licenses.</w:t>
            </w:r>
          </w:p>
        </w:tc>
        <w:tc>
          <w:tcPr>
            <w:tcW w:w="0" w:type="auto"/>
            <w:hideMark/>
          </w:tcPr>
          <w:p w14:paraId="2C58028C" w14:textId="77777777" w:rsidR="009158AB" w:rsidRPr="0047083A" w:rsidRDefault="009158AB" w:rsidP="009158AB">
            <w:pPr>
              <w:spacing w:after="160" w:line="278" w:lineRule="auto"/>
              <w:rPr>
                <w:rFonts w:ascii="Calibri" w:hAnsi="Calibri" w:cs="Calibri"/>
                <w:sz w:val="20"/>
                <w:szCs w:val="20"/>
              </w:rPr>
            </w:pPr>
            <w:r w:rsidRPr="0047083A">
              <w:rPr>
                <w:rFonts w:ascii="Calibri" w:hAnsi="Calibri" w:cs="Calibri"/>
                <w:sz w:val="20"/>
                <w:szCs w:val="20"/>
              </w:rPr>
              <w:t>Ministry of Oil, Ministry of Industry and Minerals, Ministry of Natural Resources (KRG)</w:t>
            </w:r>
          </w:p>
        </w:tc>
        <w:tc>
          <w:tcPr>
            <w:tcW w:w="0" w:type="auto"/>
            <w:hideMark/>
          </w:tcPr>
          <w:p w14:paraId="47667F1D" w14:textId="77777777" w:rsidR="009158AB" w:rsidRPr="0047083A" w:rsidRDefault="009158AB" w:rsidP="009158AB">
            <w:pPr>
              <w:spacing w:after="160" w:line="278" w:lineRule="auto"/>
              <w:rPr>
                <w:rFonts w:ascii="Calibri" w:hAnsi="Calibri" w:cs="Calibri"/>
                <w:sz w:val="20"/>
                <w:szCs w:val="20"/>
              </w:rPr>
            </w:pPr>
            <w:r w:rsidRPr="0047083A">
              <w:rPr>
                <w:rFonts w:ascii="Calibri" w:hAnsi="Calibri" w:cs="Calibri"/>
                <w:sz w:val="20"/>
                <w:szCs w:val="20"/>
              </w:rPr>
              <w:t>By license, company, and date</w:t>
            </w:r>
          </w:p>
        </w:tc>
        <w:tc>
          <w:tcPr>
            <w:tcW w:w="0" w:type="auto"/>
            <w:hideMark/>
          </w:tcPr>
          <w:p w14:paraId="42275599" w14:textId="7CD9FBF2" w:rsidR="009158AB" w:rsidRPr="0047083A" w:rsidRDefault="00040A12" w:rsidP="009158AB">
            <w:pPr>
              <w:spacing w:after="160" w:line="278" w:lineRule="auto"/>
              <w:rPr>
                <w:rFonts w:ascii="Calibri" w:hAnsi="Calibri" w:cs="Calibri"/>
                <w:sz w:val="20"/>
                <w:szCs w:val="20"/>
              </w:rPr>
            </w:pPr>
            <w:r w:rsidRPr="0047083A">
              <w:rPr>
                <w:rFonts w:ascii="Calibri" w:hAnsi="Calibri" w:cs="Calibri"/>
                <w:sz w:val="20"/>
                <w:szCs w:val="20"/>
              </w:rPr>
              <w:t xml:space="preserve">Quarterly &amp; </w:t>
            </w:r>
            <w:r w:rsidR="00375FF2" w:rsidRPr="0047083A">
              <w:rPr>
                <w:rFonts w:ascii="Calibri" w:hAnsi="Calibri" w:cs="Calibri"/>
                <w:sz w:val="20"/>
                <w:szCs w:val="20"/>
              </w:rPr>
              <w:t>Upon updates</w:t>
            </w:r>
          </w:p>
        </w:tc>
        <w:tc>
          <w:tcPr>
            <w:tcW w:w="0" w:type="auto"/>
            <w:hideMark/>
          </w:tcPr>
          <w:p w14:paraId="625CEE78" w14:textId="77777777" w:rsidR="009158AB" w:rsidRPr="0047083A" w:rsidRDefault="009158AB" w:rsidP="009158AB">
            <w:pPr>
              <w:spacing w:after="160" w:line="278" w:lineRule="auto"/>
              <w:rPr>
                <w:rFonts w:ascii="Calibri" w:hAnsi="Calibri" w:cs="Calibri"/>
                <w:sz w:val="20"/>
                <w:szCs w:val="20"/>
              </w:rPr>
            </w:pPr>
            <w:r w:rsidRPr="0047083A">
              <w:rPr>
                <w:rFonts w:ascii="Calibri" w:hAnsi="Calibri" w:cs="Calibri"/>
                <w:sz w:val="20"/>
                <w:szCs w:val="20"/>
              </w:rPr>
              <w:t>CSV, XML</w:t>
            </w:r>
          </w:p>
          <w:p w14:paraId="7A0BB528" w14:textId="3FBCF7E9" w:rsidR="00040A12" w:rsidRPr="0047083A" w:rsidRDefault="00040A12" w:rsidP="009158AB">
            <w:pPr>
              <w:spacing w:after="160" w:line="278" w:lineRule="auto"/>
              <w:rPr>
                <w:rFonts w:ascii="Calibri" w:hAnsi="Calibri" w:cs="Calibri"/>
                <w:sz w:val="20"/>
                <w:szCs w:val="20"/>
              </w:rPr>
            </w:pPr>
            <w:r w:rsidRPr="0047083A">
              <w:rPr>
                <w:rFonts w:ascii="Calibri" w:hAnsi="Calibri" w:cs="Calibri"/>
                <w:sz w:val="20"/>
                <w:szCs w:val="20"/>
              </w:rPr>
              <w:t>Excel</w:t>
            </w:r>
          </w:p>
        </w:tc>
        <w:tc>
          <w:tcPr>
            <w:tcW w:w="0" w:type="auto"/>
            <w:hideMark/>
          </w:tcPr>
          <w:p w14:paraId="4D678158" w14:textId="77777777" w:rsidR="00F02F73" w:rsidRPr="0047083A" w:rsidRDefault="009158AB" w:rsidP="009158AB">
            <w:pPr>
              <w:spacing w:after="160" w:line="278" w:lineRule="auto"/>
              <w:rPr>
                <w:rFonts w:ascii="Calibri" w:hAnsi="Calibri" w:cs="Calibri"/>
                <w:sz w:val="20"/>
                <w:szCs w:val="20"/>
              </w:rPr>
            </w:pPr>
            <w:r w:rsidRPr="0047083A">
              <w:rPr>
                <w:rFonts w:ascii="Calibri" w:hAnsi="Calibri" w:cs="Calibri"/>
                <w:sz w:val="20"/>
                <w:szCs w:val="20"/>
              </w:rPr>
              <w:t xml:space="preserve">Open Data Portal, </w:t>
            </w:r>
          </w:p>
          <w:p w14:paraId="2E31B2EC" w14:textId="7D36447B" w:rsidR="009158AB" w:rsidRPr="0047083A" w:rsidRDefault="00F27FE9" w:rsidP="009158AB">
            <w:pPr>
              <w:spacing w:after="160" w:line="278" w:lineRule="auto"/>
              <w:rPr>
                <w:rFonts w:ascii="Calibri" w:hAnsi="Calibri" w:cs="Calibri"/>
                <w:sz w:val="20"/>
                <w:szCs w:val="20"/>
              </w:rPr>
            </w:pPr>
            <w:r w:rsidRPr="00F27FE9">
              <w:rPr>
                <w:rFonts w:ascii="Calibri" w:hAnsi="Calibri" w:cs="Calibri"/>
                <w:sz w:val="20"/>
                <w:szCs w:val="20"/>
              </w:rPr>
              <w:t>NRTC</w:t>
            </w:r>
            <w:r w:rsidR="009158AB" w:rsidRPr="0047083A">
              <w:rPr>
                <w:rFonts w:ascii="Calibri" w:hAnsi="Calibri" w:cs="Calibri"/>
                <w:sz w:val="20"/>
                <w:szCs w:val="20"/>
              </w:rPr>
              <w:t xml:space="preserve"> Iraq website</w:t>
            </w:r>
          </w:p>
        </w:tc>
      </w:tr>
    </w:tbl>
    <w:p w14:paraId="23B94490" w14:textId="4C229A24" w:rsidR="00804042" w:rsidRDefault="00804042" w:rsidP="00536A4E">
      <w:pPr>
        <w:pStyle w:val="Heading4"/>
        <w:spacing w:before="120" w:after="120"/>
        <w:rPr>
          <w:rFonts w:ascii="Kohinoor Devanagari" w:hAnsi="Kohinoor Devanagari" w:cs="Kohinoor Devanagari"/>
          <w:b/>
          <w:bCs/>
          <w:sz w:val="22"/>
          <w:szCs w:val="22"/>
        </w:rPr>
      </w:pPr>
      <w:r>
        <w:rPr>
          <w:rFonts w:ascii="Kohinoor Devanagari" w:hAnsi="Kohinoor Devanagari" w:cs="Kohinoor Devanagari"/>
          <w:b/>
          <w:bCs/>
          <w:sz w:val="22"/>
          <w:szCs w:val="22"/>
        </w:rPr>
        <w:t>Module 4: Ownership</w:t>
      </w:r>
    </w:p>
    <w:p w14:paraId="145BF67F" w14:textId="1E3C402C" w:rsidR="00CF56E5" w:rsidRPr="00CF56E5" w:rsidRDefault="005F017B" w:rsidP="00536A4E">
      <w:pPr>
        <w:pStyle w:val="Heading4"/>
        <w:spacing w:before="120" w:after="120"/>
        <w:rPr>
          <w:rFonts w:ascii="Kohinoor Devanagari" w:hAnsi="Kohinoor Devanagari" w:cs="Kohinoor Devanagari"/>
          <w:b/>
          <w:bCs/>
          <w:sz w:val="22"/>
          <w:szCs w:val="22"/>
        </w:rPr>
      </w:pPr>
      <w:r>
        <w:rPr>
          <w:rFonts w:ascii="Kohinoor Devanagari" w:hAnsi="Kohinoor Devanagari" w:cs="Kohinoor Devanagari"/>
          <w:b/>
          <w:bCs/>
          <w:sz w:val="22"/>
          <w:szCs w:val="22"/>
        </w:rPr>
        <w:t>4.1.</w:t>
      </w:r>
      <w:r w:rsidRPr="00CF56E5">
        <w:rPr>
          <w:rFonts w:ascii="Kohinoor Devanagari" w:hAnsi="Kohinoor Devanagari" w:cs="Kohinoor Devanagari"/>
          <w:b/>
          <w:bCs/>
          <w:sz w:val="22"/>
          <w:szCs w:val="22"/>
        </w:rPr>
        <w:t xml:space="preserve"> Beneficial</w:t>
      </w:r>
      <w:r w:rsidR="00CF56E5" w:rsidRPr="00CF56E5">
        <w:rPr>
          <w:rFonts w:ascii="Kohinoor Devanagari" w:hAnsi="Kohinoor Devanagari" w:cs="Kohinoor Devanagari"/>
          <w:b/>
          <w:bCs/>
          <w:sz w:val="22"/>
          <w:szCs w:val="22"/>
        </w:rPr>
        <w:t xml:space="preserve"> Ownership Disclosure (Requirement 2.5)</w:t>
      </w:r>
    </w:p>
    <w:p w14:paraId="270C212F" w14:textId="315C1CC7" w:rsidR="00CF56E5" w:rsidRPr="00CF56E5" w:rsidRDefault="00CF56E5" w:rsidP="00CF56E5">
      <w:pPr>
        <w:spacing w:before="120" w:after="120" w:line="240" w:lineRule="auto"/>
        <w:rPr>
          <w:rFonts w:ascii="Kohinoor Devanagari" w:hAnsi="Kohinoor Devanagari" w:cs="Kohinoor Devanagari"/>
          <w:b/>
          <w:bCs/>
          <w:sz w:val="22"/>
          <w:szCs w:val="22"/>
          <w:lang w:eastAsia="fr-FR"/>
        </w:rPr>
      </w:pPr>
      <w:r w:rsidRPr="00CF56E5">
        <w:rPr>
          <w:rFonts w:ascii="Kohinoor Devanagari" w:hAnsi="Kohinoor Devanagari" w:cs="Kohinoor Devanagari"/>
          <w:b/>
          <w:bCs/>
          <w:sz w:val="22"/>
          <w:szCs w:val="22"/>
          <w:lang w:eastAsia="fr-FR"/>
        </w:rPr>
        <w:t>Objective</w:t>
      </w:r>
    </w:p>
    <w:p w14:paraId="7E861BF0" w14:textId="611AD9E1" w:rsidR="001F5643" w:rsidRPr="001F5643" w:rsidRDefault="001F5643" w:rsidP="001F5643">
      <w:pPr>
        <w:spacing w:before="120" w:after="120" w:line="240" w:lineRule="auto"/>
        <w:jc w:val="both"/>
        <w:rPr>
          <w:rFonts w:ascii="Kohinoor Devanagari" w:hAnsi="Kohinoor Devanagari" w:cs="Kohinoor Devanagari"/>
          <w:sz w:val="22"/>
          <w:szCs w:val="22"/>
          <w:lang w:val="fr-FR" w:eastAsia="fr-FR"/>
        </w:rPr>
      </w:pPr>
      <w:r w:rsidRPr="00C52386">
        <w:rPr>
          <w:rFonts w:ascii="Kohinoor Devanagari" w:hAnsi="Kohinoor Devanagari" w:cs="Kohinoor Devanagari"/>
          <w:sz w:val="22"/>
          <w:szCs w:val="22"/>
          <w:lang w:eastAsia="fr-FR"/>
        </w:rPr>
        <w:t xml:space="preserve">This section ensures public access to the ownership and control structures of extractive companies operating in Iraq. While exploration and production licenses are held exclusively by state-owned national oil companies (NOCs), private and international oil companies (IOCs) operate under technical service contracts. </w:t>
      </w:r>
      <w:proofErr w:type="spellStart"/>
      <w:r w:rsidRPr="001F5643">
        <w:rPr>
          <w:rFonts w:ascii="Kohinoor Devanagari" w:hAnsi="Kohinoor Devanagari" w:cs="Kohinoor Devanagari"/>
          <w:sz w:val="22"/>
          <w:szCs w:val="22"/>
          <w:lang w:val="fr-FR" w:eastAsia="fr-FR"/>
        </w:rPr>
        <w:t>Therefore</w:t>
      </w:r>
      <w:proofErr w:type="spellEnd"/>
      <w:r w:rsidRPr="001F5643">
        <w:rPr>
          <w:rFonts w:ascii="Kohinoor Devanagari" w:hAnsi="Kohinoor Devanagari" w:cs="Kohinoor Devanagari"/>
          <w:sz w:val="22"/>
          <w:szCs w:val="22"/>
          <w:lang w:val="fr-FR" w:eastAsia="fr-FR"/>
        </w:rPr>
        <w:t xml:space="preserve">, </w:t>
      </w:r>
      <w:proofErr w:type="spellStart"/>
      <w:r w:rsidRPr="001F5643">
        <w:rPr>
          <w:rFonts w:ascii="Kohinoor Devanagari" w:hAnsi="Kohinoor Devanagari" w:cs="Kohinoor Devanagari"/>
          <w:sz w:val="22"/>
          <w:szCs w:val="22"/>
          <w:lang w:val="fr-FR" w:eastAsia="fr-FR"/>
        </w:rPr>
        <w:t>beneficial</w:t>
      </w:r>
      <w:proofErr w:type="spellEnd"/>
      <w:r w:rsidRPr="001F5643">
        <w:rPr>
          <w:rFonts w:ascii="Kohinoor Devanagari" w:hAnsi="Kohinoor Devanagari" w:cs="Kohinoor Devanagari"/>
          <w:sz w:val="22"/>
          <w:szCs w:val="22"/>
          <w:lang w:val="fr-FR" w:eastAsia="fr-FR"/>
        </w:rPr>
        <w:t xml:space="preserve"> </w:t>
      </w:r>
      <w:proofErr w:type="spellStart"/>
      <w:r w:rsidRPr="001F5643">
        <w:rPr>
          <w:rFonts w:ascii="Kohinoor Devanagari" w:hAnsi="Kohinoor Devanagari" w:cs="Kohinoor Devanagari"/>
          <w:sz w:val="22"/>
          <w:szCs w:val="22"/>
          <w:lang w:val="fr-FR" w:eastAsia="fr-FR"/>
        </w:rPr>
        <w:t>ownership</w:t>
      </w:r>
      <w:proofErr w:type="spellEnd"/>
      <w:r w:rsidRPr="001F5643">
        <w:rPr>
          <w:rFonts w:ascii="Kohinoor Devanagari" w:hAnsi="Kohinoor Devanagari" w:cs="Kohinoor Devanagari"/>
          <w:sz w:val="22"/>
          <w:szCs w:val="22"/>
          <w:lang w:val="fr-FR" w:eastAsia="fr-FR"/>
        </w:rPr>
        <w:t xml:space="preserve"> (BO) </w:t>
      </w:r>
      <w:proofErr w:type="spellStart"/>
      <w:r w:rsidRPr="001F5643">
        <w:rPr>
          <w:rFonts w:ascii="Kohinoor Devanagari" w:hAnsi="Kohinoor Devanagari" w:cs="Kohinoor Devanagari"/>
          <w:sz w:val="22"/>
          <w:szCs w:val="22"/>
          <w:lang w:val="fr-FR" w:eastAsia="fr-FR"/>
        </w:rPr>
        <w:t>disclosures</w:t>
      </w:r>
      <w:proofErr w:type="spellEnd"/>
      <w:r w:rsidRPr="001F5643">
        <w:rPr>
          <w:rFonts w:ascii="Kohinoor Devanagari" w:hAnsi="Kohinoor Devanagari" w:cs="Kohinoor Devanagari"/>
          <w:sz w:val="22"/>
          <w:szCs w:val="22"/>
          <w:lang w:val="fr-FR" w:eastAsia="fr-FR"/>
        </w:rPr>
        <w:t xml:space="preserve"> focus </w:t>
      </w:r>
      <w:r w:rsidR="00F12CF5" w:rsidRPr="001F5643">
        <w:rPr>
          <w:rFonts w:ascii="Kohinoor Devanagari" w:hAnsi="Kohinoor Devanagari" w:cs="Kohinoor Devanagari"/>
          <w:sz w:val="22"/>
          <w:szCs w:val="22"/>
          <w:lang w:val="fr-FR" w:eastAsia="fr-FR"/>
        </w:rPr>
        <w:t>on :</w:t>
      </w:r>
    </w:p>
    <w:p w14:paraId="2613A2D4" w14:textId="092FF9DE" w:rsidR="00C63430" w:rsidRDefault="00FF564C" w:rsidP="001F5643">
      <w:pPr>
        <w:numPr>
          <w:ilvl w:val="0"/>
          <w:numId w:val="97"/>
        </w:numPr>
        <w:spacing w:before="120" w:after="120" w:line="240" w:lineRule="auto"/>
        <w:jc w:val="both"/>
        <w:rPr>
          <w:rFonts w:ascii="Kohinoor Devanagari" w:hAnsi="Kohinoor Devanagari" w:cs="Kohinoor Devanagari"/>
          <w:sz w:val="22"/>
          <w:szCs w:val="22"/>
          <w:lang w:eastAsia="fr-FR"/>
        </w:rPr>
      </w:pPr>
      <w:r>
        <w:rPr>
          <w:rFonts w:ascii="Kohinoor Devanagari" w:hAnsi="Kohinoor Devanagari" w:cs="Kohinoor Devanagari"/>
          <w:sz w:val="22"/>
          <w:szCs w:val="22"/>
          <w:lang w:eastAsia="fr-FR"/>
        </w:rPr>
        <w:t>I</w:t>
      </w:r>
      <w:r w:rsidR="00C63430" w:rsidRPr="0092022E">
        <w:rPr>
          <w:rFonts w:ascii="Kohinoor Devanagari" w:hAnsi="Kohinoor Devanagari" w:cs="Kohinoor Devanagari"/>
          <w:sz w:val="22"/>
          <w:szCs w:val="22"/>
          <w:lang w:eastAsia="fr-FR"/>
        </w:rPr>
        <w:t>nternational oil companies (IOCs</w:t>
      </w:r>
      <w:r w:rsidR="00C63430">
        <w:rPr>
          <w:rFonts w:ascii="Kohinoor Devanagari" w:hAnsi="Kohinoor Devanagari" w:cs="Kohinoor Devanagari"/>
          <w:sz w:val="22"/>
          <w:szCs w:val="22"/>
          <w:lang w:eastAsia="fr-FR"/>
        </w:rPr>
        <w:t>);</w:t>
      </w:r>
      <w:r w:rsidR="00CA5F80">
        <w:rPr>
          <w:rFonts w:ascii="Kohinoor Devanagari" w:hAnsi="Kohinoor Devanagari" w:cs="Kohinoor Devanagari"/>
          <w:sz w:val="22"/>
          <w:szCs w:val="22"/>
          <w:lang w:eastAsia="fr-FR"/>
        </w:rPr>
        <w:t xml:space="preserve"> and</w:t>
      </w:r>
    </w:p>
    <w:p w14:paraId="67E897EE" w14:textId="5702290B" w:rsidR="001F5643" w:rsidRPr="00C52386" w:rsidRDefault="001F5643" w:rsidP="00FF564C">
      <w:pPr>
        <w:numPr>
          <w:ilvl w:val="0"/>
          <w:numId w:val="97"/>
        </w:numPr>
        <w:spacing w:before="120" w:after="120" w:line="240" w:lineRule="auto"/>
        <w:jc w:val="both"/>
        <w:rPr>
          <w:rFonts w:ascii="Kohinoor Devanagari" w:hAnsi="Kohinoor Devanagari" w:cs="Kohinoor Devanagari"/>
          <w:sz w:val="22"/>
          <w:szCs w:val="22"/>
          <w:lang w:eastAsia="fr-FR"/>
        </w:rPr>
      </w:pPr>
      <w:r w:rsidRPr="00C52386">
        <w:rPr>
          <w:rFonts w:ascii="Kohinoor Devanagari" w:hAnsi="Kohinoor Devanagari" w:cs="Kohinoor Devanagari"/>
          <w:sz w:val="22"/>
          <w:szCs w:val="22"/>
          <w:lang w:eastAsia="fr-FR"/>
        </w:rPr>
        <w:t>Private companies subcontracted by IOCs and NOCs</w:t>
      </w:r>
      <w:r w:rsidR="00CA5F80">
        <w:rPr>
          <w:rFonts w:ascii="Kohinoor Devanagari" w:hAnsi="Kohinoor Devanagari" w:cs="Kohinoor Devanagari"/>
          <w:sz w:val="22"/>
          <w:szCs w:val="22"/>
          <w:lang w:eastAsia="fr-FR"/>
        </w:rPr>
        <w:t>.</w:t>
      </w:r>
    </w:p>
    <w:p w14:paraId="611976C0" w14:textId="77777777" w:rsidR="001F5643" w:rsidRPr="00C52386" w:rsidRDefault="001F5643" w:rsidP="001F5643">
      <w:pPr>
        <w:spacing w:before="120" w:after="120" w:line="240" w:lineRule="auto"/>
        <w:jc w:val="both"/>
        <w:rPr>
          <w:rFonts w:ascii="Kohinoor Devanagari" w:hAnsi="Kohinoor Devanagari" w:cs="Kohinoor Devanagari"/>
          <w:sz w:val="22"/>
          <w:szCs w:val="22"/>
          <w:lang w:eastAsia="fr-FR"/>
        </w:rPr>
      </w:pPr>
      <w:r w:rsidRPr="00C52386">
        <w:rPr>
          <w:rFonts w:ascii="Kohinoor Devanagari" w:hAnsi="Kohinoor Devanagari" w:cs="Kohinoor Devanagari"/>
          <w:sz w:val="22"/>
          <w:szCs w:val="22"/>
          <w:lang w:eastAsia="fr-FR"/>
        </w:rPr>
        <w:t xml:space="preserve">Disclosures must include legal and beneficial ownership, parent company information, and identification of politically exposed persons (PEPs), in accordance with EITI Requirement 2.5. The </w:t>
      </w:r>
      <w:r w:rsidRPr="00C52386">
        <w:rPr>
          <w:rFonts w:ascii="Kohinoor Devanagari" w:hAnsi="Kohinoor Devanagari" w:cs="Kohinoor Devanagari"/>
          <w:b/>
          <w:bCs/>
          <w:sz w:val="22"/>
          <w:szCs w:val="22"/>
          <w:lang w:eastAsia="fr-FR"/>
        </w:rPr>
        <w:t>Companies Register Department (CRD)</w:t>
      </w:r>
      <w:r w:rsidRPr="00C52386">
        <w:rPr>
          <w:rFonts w:ascii="Kohinoor Devanagari" w:hAnsi="Kohinoor Devanagari" w:cs="Kohinoor Devanagari"/>
          <w:sz w:val="22"/>
          <w:szCs w:val="22"/>
          <w:lang w:eastAsia="fr-FR"/>
        </w:rPr>
        <w:t xml:space="preserve"> under the Ministry of Trade is the custodian of this data and must ensure public access, at least for companies operating in the extractive sector.</w:t>
      </w:r>
    </w:p>
    <w:p w14:paraId="65A0D3C5" w14:textId="700DA5F1" w:rsidR="00B0522A" w:rsidRDefault="00B0522A" w:rsidP="00B0522A">
      <w:pPr>
        <w:spacing w:before="120" w:after="120" w:line="240" w:lineRule="auto"/>
        <w:rPr>
          <w:rFonts w:ascii="Kohinoor Devanagari" w:hAnsi="Kohinoor Devanagari" w:cs="Kohinoor Devanagari"/>
          <w:b/>
          <w:bCs/>
          <w:sz w:val="22"/>
          <w:szCs w:val="22"/>
          <w:lang w:eastAsia="fr-FR"/>
        </w:rPr>
      </w:pPr>
      <w:r w:rsidRPr="009F50A1">
        <w:rPr>
          <w:rFonts w:ascii="Kohinoor Devanagari" w:hAnsi="Kohinoor Devanagari" w:cs="Kohinoor Devanagari"/>
          <w:b/>
          <w:bCs/>
          <w:sz w:val="22"/>
          <w:szCs w:val="22"/>
          <w:lang w:eastAsia="fr-FR"/>
        </w:rPr>
        <w:t>Data Disclosure Requirements</w:t>
      </w:r>
    </w:p>
    <w:tbl>
      <w:tblPr>
        <w:tblStyle w:val="TableGrid"/>
        <w:tblW w:w="0" w:type="auto"/>
        <w:tblBorders>
          <w:top w:val="single" w:sz="4" w:space="0" w:color="89AA5F"/>
          <w:left w:val="single" w:sz="4" w:space="0" w:color="89AA5F"/>
          <w:bottom w:val="single" w:sz="4" w:space="0" w:color="89AA5F"/>
          <w:right w:val="single" w:sz="4" w:space="0" w:color="89AA5F"/>
          <w:insideH w:val="single" w:sz="4" w:space="0" w:color="89AA5F"/>
          <w:insideV w:val="single" w:sz="4" w:space="0" w:color="89AA5F"/>
        </w:tblBorders>
        <w:tblLook w:val="04A0" w:firstRow="1" w:lastRow="0" w:firstColumn="1" w:lastColumn="0" w:noHBand="0" w:noVBand="1"/>
      </w:tblPr>
      <w:tblGrid>
        <w:gridCol w:w="1338"/>
        <w:gridCol w:w="1687"/>
        <w:gridCol w:w="1525"/>
        <w:gridCol w:w="1476"/>
        <w:gridCol w:w="1093"/>
        <w:gridCol w:w="1022"/>
        <w:gridCol w:w="1197"/>
      </w:tblGrid>
      <w:tr w:rsidR="00A31CD8" w:rsidRPr="00A31CD8" w14:paraId="4059478E" w14:textId="77777777" w:rsidTr="00A31CD8">
        <w:trPr>
          <w:tblHeader/>
        </w:trPr>
        <w:tc>
          <w:tcPr>
            <w:tcW w:w="0" w:type="auto"/>
            <w:shd w:val="clear" w:color="auto" w:fill="748A96"/>
            <w:hideMark/>
          </w:tcPr>
          <w:p w14:paraId="0F9E291F" w14:textId="77777777" w:rsidR="00BC2FAC" w:rsidRPr="00C52386" w:rsidRDefault="00BC2FAC" w:rsidP="00BC2FAC">
            <w:pPr>
              <w:spacing w:before="120" w:after="120"/>
              <w:rPr>
                <w:rFonts w:ascii="Calibri" w:hAnsi="Calibri" w:cs="Calibri"/>
                <w:b/>
                <w:bCs/>
                <w:color w:val="FFFFFF" w:themeColor="background1"/>
                <w:sz w:val="20"/>
                <w:szCs w:val="20"/>
                <w:lang w:val="fr-FR" w:eastAsia="fr-FR"/>
              </w:rPr>
            </w:pPr>
            <w:r w:rsidRPr="00C52386">
              <w:rPr>
                <w:rFonts w:ascii="Calibri" w:hAnsi="Calibri" w:cs="Calibri"/>
                <w:b/>
                <w:bCs/>
                <w:color w:val="FFFFFF" w:themeColor="background1"/>
                <w:sz w:val="20"/>
                <w:szCs w:val="20"/>
                <w:lang w:val="fr-FR" w:eastAsia="fr-FR"/>
              </w:rPr>
              <w:t>Data Type</w:t>
            </w:r>
          </w:p>
        </w:tc>
        <w:tc>
          <w:tcPr>
            <w:tcW w:w="0" w:type="auto"/>
            <w:shd w:val="clear" w:color="auto" w:fill="748A96"/>
            <w:hideMark/>
          </w:tcPr>
          <w:p w14:paraId="419C5112" w14:textId="77777777" w:rsidR="00BC2FAC" w:rsidRPr="00C52386" w:rsidRDefault="00BC2FAC" w:rsidP="00BC2FAC">
            <w:pPr>
              <w:spacing w:before="120" w:after="120"/>
              <w:rPr>
                <w:rFonts w:ascii="Calibri" w:hAnsi="Calibri" w:cs="Calibri"/>
                <w:b/>
                <w:bCs/>
                <w:color w:val="FFFFFF" w:themeColor="background1"/>
                <w:sz w:val="20"/>
                <w:szCs w:val="20"/>
                <w:lang w:val="fr-FR" w:eastAsia="fr-FR"/>
              </w:rPr>
            </w:pPr>
            <w:r w:rsidRPr="00C52386">
              <w:rPr>
                <w:rFonts w:ascii="Calibri" w:hAnsi="Calibri" w:cs="Calibri"/>
                <w:b/>
                <w:bCs/>
                <w:color w:val="FFFFFF" w:themeColor="background1"/>
                <w:sz w:val="20"/>
                <w:szCs w:val="20"/>
                <w:lang w:val="fr-FR" w:eastAsia="fr-FR"/>
              </w:rPr>
              <w:t>Description</w:t>
            </w:r>
          </w:p>
        </w:tc>
        <w:tc>
          <w:tcPr>
            <w:tcW w:w="0" w:type="auto"/>
            <w:shd w:val="clear" w:color="auto" w:fill="748A96"/>
            <w:hideMark/>
          </w:tcPr>
          <w:p w14:paraId="24DEEBF8" w14:textId="77777777" w:rsidR="00BC2FAC" w:rsidRPr="00C52386" w:rsidRDefault="00BC2FAC" w:rsidP="00BC2FAC">
            <w:pPr>
              <w:spacing w:before="120" w:after="120"/>
              <w:rPr>
                <w:rFonts w:ascii="Calibri" w:hAnsi="Calibri" w:cs="Calibri"/>
                <w:b/>
                <w:bCs/>
                <w:color w:val="FFFFFF" w:themeColor="background1"/>
                <w:sz w:val="20"/>
                <w:szCs w:val="20"/>
                <w:lang w:val="fr-FR" w:eastAsia="fr-FR"/>
              </w:rPr>
            </w:pPr>
            <w:proofErr w:type="spellStart"/>
            <w:r w:rsidRPr="00C52386">
              <w:rPr>
                <w:rFonts w:ascii="Calibri" w:hAnsi="Calibri" w:cs="Calibri"/>
                <w:b/>
                <w:bCs/>
                <w:color w:val="FFFFFF" w:themeColor="background1"/>
                <w:sz w:val="20"/>
                <w:szCs w:val="20"/>
                <w:lang w:val="fr-FR" w:eastAsia="fr-FR"/>
              </w:rPr>
              <w:t>Responsible</w:t>
            </w:r>
            <w:proofErr w:type="spellEnd"/>
            <w:r w:rsidRPr="00C52386">
              <w:rPr>
                <w:rFonts w:ascii="Calibri" w:hAnsi="Calibri" w:cs="Calibri"/>
                <w:b/>
                <w:bCs/>
                <w:color w:val="FFFFFF" w:themeColor="background1"/>
                <w:sz w:val="20"/>
                <w:szCs w:val="20"/>
                <w:lang w:val="fr-FR" w:eastAsia="fr-FR"/>
              </w:rPr>
              <w:t xml:space="preserve"> </w:t>
            </w:r>
            <w:proofErr w:type="spellStart"/>
            <w:r w:rsidRPr="00C52386">
              <w:rPr>
                <w:rFonts w:ascii="Calibri" w:hAnsi="Calibri" w:cs="Calibri"/>
                <w:b/>
                <w:bCs/>
                <w:color w:val="FFFFFF" w:themeColor="background1"/>
                <w:sz w:val="20"/>
                <w:szCs w:val="20"/>
                <w:lang w:val="fr-FR" w:eastAsia="fr-FR"/>
              </w:rPr>
              <w:t>Entities</w:t>
            </w:r>
            <w:proofErr w:type="spellEnd"/>
            <w:r w:rsidRPr="00C52386">
              <w:rPr>
                <w:rFonts w:ascii="Calibri" w:hAnsi="Calibri" w:cs="Calibri"/>
                <w:b/>
                <w:bCs/>
                <w:color w:val="FFFFFF" w:themeColor="background1"/>
                <w:sz w:val="20"/>
                <w:szCs w:val="20"/>
                <w:lang w:val="fr-FR" w:eastAsia="fr-FR"/>
              </w:rPr>
              <w:t xml:space="preserve"> (</w:t>
            </w:r>
            <w:proofErr w:type="spellStart"/>
            <w:r w:rsidRPr="00C52386">
              <w:rPr>
                <w:rFonts w:ascii="Calibri" w:hAnsi="Calibri" w:cs="Calibri"/>
                <w:b/>
                <w:bCs/>
                <w:color w:val="FFFFFF" w:themeColor="background1"/>
                <w:sz w:val="20"/>
                <w:szCs w:val="20"/>
                <w:lang w:val="fr-FR" w:eastAsia="fr-FR"/>
              </w:rPr>
              <w:t>Reporting</w:t>
            </w:r>
            <w:proofErr w:type="spellEnd"/>
            <w:r w:rsidRPr="00C52386">
              <w:rPr>
                <w:rFonts w:ascii="Calibri" w:hAnsi="Calibri" w:cs="Calibri"/>
                <w:b/>
                <w:bCs/>
                <w:color w:val="FFFFFF" w:themeColor="background1"/>
                <w:sz w:val="20"/>
                <w:szCs w:val="20"/>
                <w:lang w:val="fr-FR" w:eastAsia="fr-FR"/>
              </w:rPr>
              <w:t xml:space="preserve"> </w:t>
            </w:r>
            <w:proofErr w:type="spellStart"/>
            <w:r w:rsidRPr="00C52386">
              <w:rPr>
                <w:rFonts w:ascii="Calibri" w:hAnsi="Calibri" w:cs="Calibri"/>
                <w:b/>
                <w:bCs/>
                <w:color w:val="FFFFFF" w:themeColor="background1"/>
                <w:sz w:val="20"/>
                <w:szCs w:val="20"/>
                <w:lang w:val="fr-FR" w:eastAsia="fr-FR"/>
              </w:rPr>
              <w:t>Entities</w:t>
            </w:r>
            <w:proofErr w:type="spellEnd"/>
            <w:r w:rsidRPr="00C52386">
              <w:rPr>
                <w:rFonts w:ascii="Calibri" w:hAnsi="Calibri" w:cs="Calibri"/>
                <w:b/>
                <w:bCs/>
                <w:color w:val="FFFFFF" w:themeColor="background1"/>
                <w:sz w:val="20"/>
                <w:szCs w:val="20"/>
                <w:lang w:val="fr-FR" w:eastAsia="fr-FR"/>
              </w:rPr>
              <w:t>)</w:t>
            </w:r>
          </w:p>
        </w:tc>
        <w:tc>
          <w:tcPr>
            <w:tcW w:w="0" w:type="auto"/>
            <w:shd w:val="clear" w:color="auto" w:fill="748A96"/>
            <w:hideMark/>
          </w:tcPr>
          <w:p w14:paraId="170F4710" w14:textId="77777777" w:rsidR="00BC2FAC" w:rsidRPr="00C52386" w:rsidRDefault="00BC2FAC" w:rsidP="00BC2FAC">
            <w:pPr>
              <w:spacing w:before="120" w:after="120"/>
              <w:rPr>
                <w:rFonts w:ascii="Calibri" w:hAnsi="Calibri" w:cs="Calibri"/>
                <w:b/>
                <w:bCs/>
                <w:color w:val="FFFFFF" w:themeColor="background1"/>
                <w:sz w:val="20"/>
                <w:szCs w:val="20"/>
                <w:lang w:val="fr-FR" w:eastAsia="fr-FR"/>
              </w:rPr>
            </w:pPr>
            <w:proofErr w:type="spellStart"/>
            <w:r w:rsidRPr="00C52386">
              <w:rPr>
                <w:rFonts w:ascii="Calibri" w:hAnsi="Calibri" w:cs="Calibri"/>
                <w:b/>
                <w:bCs/>
                <w:color w:val="FFFFFF" w:themeColor="background1"/>
                <w:sz w:val="20"/>
                <w:szCs w:val="20"/>
                <w:lang w:val="fr-FR" w:eastAsia="fr-FR"/>
              </w:rPr>
              <w:t>Disaggregation</w:t>
            </w:r>
            <w:proofErr w:type="spellEnd"/>
          </w:p>
        </w:tc>
        <w:tc>
          <w:tcPr>
            <w:tcW w:w="0" w:type="auto"/>
            <w:shd w:val="clear" w:color="auto" w:fill="748A96"/>
            <w:hideMark/>
          </w:tcPr>
          <w:p w14:paraId="4025EC9B" w14:textId="77777777" w:rsidR="00BC2FAC" w:rsidRPr="00C52386" w:rsidRDefault="00BC2FAC" w:rsidP="00BC2FAC">
            <w:pPr>
              <w:spacing w:before="120" w:after="120"/>
              <w:rPr>
                <w:rFonts w:ascii="Calibri" w:hAnsi="Calibri" w:cs="Calibri"/>
                <w:b/>
                <w:bCs/>
                <w:color w:val="FFFFFF" w:themeColor="background1"/>
                <w:sz w:val="20"/>
                <w:szCs w:val="20"/>
                <w:lang w:val="fr-FR" w:eastAsia="fr-FR"/>
              </w:rPr>
            </w:pPr>
            <w:r w:rsidRPr="00C52386">
              <w:rPr>
                <w:rFonts w:ascii="Calibri" w:hAnsi="Calibri" w:cs="Calibri"/>
                <w:b/>
                <w:bCs/>
                <w:color w:val="FFFFFF" w:themeColor="background1"/>
                <w:sz w:val="20"/>
                <w:szCs w:val="20"/>
                <w:lang w:val="fr-FR" w:eastAsia="fr-FR"/>
              </w:rPr>
              <w:t>Frequency</w:t>
            </w:r>
          </w:p>
        </w:tc>
        <w:tc>
          <w:tcPr>
            <w:tcW w:w="0" w:type="auto"/>
            <w:shd w:val="clear" w:color="auto" w:fill="748A96"/>
            <w:hideMark/>
          </w:tcPr>
          <w:p w14:paraId="09F2CE34" w14:textId="77777777" w:rsidR="00BC2FAC" w:rsidRPr="00C52386" w:rsidRDefault="00BC2FAC" w:rsidP="00BC2FAC">
            <w:pPr>
              <w:spacing w:before="120" w:after="120"/>
              <w:rPr>
                <w:rFonts w:ascii="Calibri" w:hAnsi="Calibri" w:cs="Calibri"/>
                <w:b/>
                <w:bCs/>
                <w:color w:val="FFFFFF" w:themeColor="background1"/>
                <w:sz w:val="20"/>
                <w:szCs w:val="20"/>
                <w:lang w:val="fr-FR" w:eastAsia="fr-FR"/>
              </w:rPr>
            </w:pPr>
            <w:r w:rsidRPr="00C52386">
              <w:rPr>
                <w:rFonts w:ascii="Calibri" w:hAnsi="Calibri" w:cs="Calibri"/>
                <w:b/>
                <w:bCs/>
                <w:color w:val="FFFFFF" w:themeColor="background1"/>
                <w:sz w:val="20"/>
                <w:szCs w:val="20"/>
                <w:lang w:val="fr-FR" w:eastAsia="fr-FR"/>
              </w:rPr>
              <w:t>Format</w:t>
            </w:r>
          </w:p>
        </w:tc>
        <w:tc>
          <w:tcPr>
            <w:tcW w:w="0" w:type="auto"/>
            <w:shd w:val="clear" w:color="auto" w:fill="748A96"/>
            <w:hideMark/>
          </w:tcPr>
          <w:p w14:paraId="42DD56D7" w14:textId="77777777" w:rsidR="00BC2FAC" w:rsidRPr="00C52386" w:rsidRDefault="00BC2FAC" w:rsidP="00BC2FAC">
            <w:pPr>
              <w:spacing w:before="120" w:after="120"/>
              <w:rPr>
                <w:rFonts w:ascii="Calibri" w:hAnsi="Calibri" w:cs="Calibri"/>
                <w:b/>
                <w:bCs/>
                <w:color w:val="FFFFFF" w:themeColor="background1"/>
                <w:sz w:val="20"/>
                <w:szCs w:val="20"/>
                <w:lang w:val="fr-FR" w:eastAsia="fr-FR"/>
              </w:rPr>
            </w:pPr>
            <w:r w:rsidRPr="00C52386">
              <w:rPr>
                <w:rFonts w:ascii="Calibri" w:hAnsi="Calibri" w:cs="Calibri"/>
                <w:b/>
                <w:bCs/>
                <w:color w:val="FFFFFF" w:themeColor="background1"/>
                <w:sz w:val="20"/>
                <w:szCs w:val="20"/>
                <w:lang w:val="fr-FR" w:eastAsia="fr-FR"/>
              </w:rPr>
              <w:t>Publication Channels</w:t>
            </w:r>
          </w:p>
        </w:tc>
      </w:tr>
      <w:tr w:rsidR="00BC2FAC" w:rsidRPr="00082FD3" w14:paraId="3227B244" w14:textId="77777777" w:rsidTr="00C52386">
        <w:tc>
          <w:tcPr>
            <w:tcW w:w="0" w:type="auto"/>
            <w:hideMark/>
          </w:tcPr>
          <w:p w14:paraId="3C1AD712" w14:textId="77777777" w:rsidR="00BC2FAC" w:rsidRPr="00C52386" w:rsidRDefault="00BC2FAC" w:rsidP="00BC2FAC">
            <w:pPr>
              <w:spacing w:before="120" w:after="120"/>
              <w:rPr>
                <w:rFonts w:ascii="Calibri" w:hAnsi="Calibri" w:cs="Calibri"/>
                <w:sz w:val="20"/>
                <w:szCs w:val="20"/>
                <w:lang w:eastAsia="fr-FR"/>
              </w:rPr>
            </w:pPr>
            <w:r w:rsidRPr="00C52386">
              <w:rPr>
                <w:rFonts w:ascii="Calibri" w:hAnsi="Calibri" w:cs="Calibri"/>
                <w:b/>
                <w:bCs/>
                <w:sz w:val="20"/>
                <w:szCs w:val="20"/>
                <w:lang w:eastAsia="fr-FR"/>
              </w:rPr>
              <w:t>Beneficial Ownership (BO) &amp; Politically Exposed Persons (PEPs)</w:t>
            </w:r>
          </w:p>
        </w:tc>
        <w:tc>
          <w:tcPr>
            <w:tcW w:w="0" w:type="auto"/>
            <w:hideMark/>
          </w:tcPr>
          <w:p w14:paraId="6CB9A820" w14:textId="77777777" w:rsidR="00BC2FAC" w:rsidRPr="00C52386" w:rsidRDefault="00BC2FAC" w:rsidP="00BC2FAC">
            <w:pPr>
              <w:spacing w:before="120" w:after="120"/>
              <w:rPr>
                <w:rFonts w:ascii="Calibri" w:hAnsi="Calibri" w:cs="Calibri"/>
                <w:sz w:val="20"/>
                <w:szCs w:val="20"/>
                <w:lang w:eastAsia="fr-FR"/>
              </w:rPr>
            </w:pPr>
            <w:r w:rsidRPr="00C52386">
              <w:rPr>
                <w:rFonts w:ascii="Calibri" w:hAnsi="Calibri" w:cs="Calibri"/>
                <w:sz w:val="20"/>
                <w:szCs w:val="20"/>
                <w:lang w:eastAsia="fr-FR"/>
              </w:rPr>
              <w:t>Disclosure of beneficial owners and PEPs, including ownership levels and control mechanisms, for extractive SOEs and subcontractors engaged by IOCs/NOCs.</w:t>
            </w:r>
          </w:p>
        </w:tc>
        <w:tc>
          <w:tcPr>
            <w:tcW w:w="0" w:type="auto"/>
            <w:hideMark/>
          </w:tcPr>
          <w:p w14:paraId="3C45289E" w14:textId="77777777" w:rsidR="00BC2FAC" w:rsidRDefault="00CA5F80" w:rsidP="00BC2FAC">
            <w:pPr>
              <w:spacing w:before="120" w:after="120"/>
              <w:rPr>
                <w:rFonts w:ascii="Calibri" w:hAnsi="Calibri" w:cs="Calibri"/>
                <w:sz w:val="20"/>
                <w:szCs w:val="20"/>
                <w:lang w:eastAsia="fr-FR"/>
              </w:rPr>
            </w:pPr>
            <w:r>
              <w:rPr>
                <w:rFonts w:ascii="Calibri" w:hAnsi="Calibri" w:cs="Calibri"/>
                <w:sz w:val="20"/>
                <w:szCs w:val="20"/>
                <w:lang w:eastAsia="fr-FR"/>
              </w:rPr>
              <w:t>IOC</w:t>
            </w:r>
            <w:r w:rsidR="00BC2FAC" w:rsidRPr="00C52386">
              <w:rPr>
                <w:rFonts w:ascii="Calibri" w:hAnsi="Calibri" w:cs="Calibri"/>
                <w:sz w:val="20"/>
                <w:szCs w:val="20"/>
                <w:lang w:eastAsia="fr-FR"/>
              </w:rPr>
              <w:t>s, Subcontractors of IOCs and NOCs</w:t>
            </w:r>
            <w:r w:rsidR="00855E92">
              <w:rPr>
                <w:rFonts w:ascii="Calibri" w:hAnsi="Calibri" w:cs="Calibri"/>
                <w:sz w:val="20"/>
                <w:szCs w:val="20"/>
                <w:lang w:eastAsia="fr-FR"/>
              </w:rPr>
              <w:t>,</w:t>
            </w:r>
          </w:p>
          <w:p w14:paraId="2973C49E" w14:textId="171F92D2" w:rsidR="00855E92" w:rsidRPr="00C52386" w:rsidRDefault="00855E92" w:rsidP="00BC2FAC">
            <w:pPr>
              <w:spacing w:before="120" w:after="120"/>
              <w:rPr>
                <w:rFonts w:ascii="Calibri" w:hAnsi="Calibri" w:cs="Calibri"/>
                <w:sz w:val="20"/>
                <w:szCs w:val="20"/>
                <w:lang w:eastAsia="fr-FR"/>
              </w:rPr>
            </w:pPr>
            <w:r>
              <w:rPr>
                <w:rFonts w:ascii="Calibri" w:hAnsi="Calibri" w:cs="Calibri"/>
                <w:sz w:val="20"/>
                <w:szCs w:val="20"/>
                <w:lang w:eastAsia="fr-FR"/>
              </w:rPr>
              <w:t>CRD</w:t>
            </w:r>
          </w:p>
        </w:tc>
        <w:tc>
          <w:tcPr>
            <w:tcW w:w="0" w:type="auto"/>
            <w:hideMark/>
          </w:tcPr>
          <w:p w14:paraId="594AB7F0" w14:textId="77777777" w:rsidR="00BC2FAC" w:rsidRPr="00C52386" w:rsidRDefault="00BC2FAC" w:rsidP="00BC2FAC">
            <w:pPr>
              <w:spacing w:before="120" w:after="120"/>
              <w:rPr>
                <w:rFonts w:ascii="Calibri" w:hAnsi="Calibri" w:cs="Calibri"/>
                <w:sz w:val="20"/>
                <w:szCs w:val="20"/>
                <w:lang w:val="fr-FR" w:eastAsia="fr-FR"/>
              </w:rPr>
            </w:pPr>
            <w:r w:rsidRPr="00C52386">
              <w:rPr>
                <w:rFonts w:ascii="Calibri" w:hAnsi="Calibri" w:cs="Calibri"/>
                <w:sz w:val="20"/>
                <w:szCs w:val="20"/>
                <w:lang w:val="fr-FR" w:eastAsia="fr-FR"/>
              </w:rPr>
              <w:t xml:space="preserve">By </w:t>
            </w:r>
            <w:proofErr w:type="spellStart"/>
            <w:r w:rsidRPr="00C52386">
              <w:rPr>
                <w:rFonts w:ascii="Calibri" w:hAnsi="Calibri" w:cs="Calibri"/>
                <w:sz w:val="20"/>
                <w:szCs w:val="20"/>
                <w:lang w:val="fr-FR" w:eastAsia="fr-FR"/>
              </w:rPr>
              <w:t>company</w:t>
            </w:r>
            <w:proofErr w:type="spellEnd"/>
          </w:p>
        </w:tc>
        <w:tc>
          <w:tcPr>
            <w:tcW w:w="0" w:type="auto"/>
            <w:hideMark/>
          </w:tcPr>
          <w:p w14:paraId="227F6A86" w14:textId="77777777" w:rsidR="00BC2FAC" w:rsidRPr="00C52386" w:rsidRDefault="00BC2FAC" w:rsidP="00BC2FAC">
            <w:pPr>
              <w:spacing w:before="120" w:after="120"/>
              <w:rPr>
                <w:rFonts w:ascii="Calibri" w:hAnsi="Calibri" w:cs="Calibri"/>
                <w:sz w:val="20"/>
                <w:szCs w:val="20"/>
                <w:lang w:val="fr-FR" w:eastAsia="fr-FR"/>
              </w:rPr>
            </w:pPr>
            <w:proofErr w:type="spellStart"/>
            <w:r w:rsidRPr="00C52386">
              <w:rPr>
                <w:rFonts w:ascii="Calibri" w:hAnsi="Calibri" w:cs="Calibri"/>
                <w:sz w:val="20"/>
                <w:szCs w:val="20"/>
                <w:lang w:val="fr-FR" w:eastAsia="fr-FR"/>
              </w:rPr>
              <w:t>Annually</w:t>
            </w:r>
            <w:proofErr w:type="spellEnd"/>
            <w:r w:rsidRPr="00C52386">
              <w:rPr>
                <w:rFonts w:ascii="Calibri" w:hAnsi="Calibri" w:cs="Calibri"/>
                <w:sz w:val="20"/>
                <w:szCs w:val="20"/>
                <w:lang w:val="fr-FR" w:eastAsia="fr-FR"/>
              </w:rPr>
              <w:t xml:space="preserve"> &amp; Updates</w:t>
            </w:r>
          </w:p>
        </w:tc>
        <w:tc>
          <w:tcPr>
            <w:tcW w:w="0" w:type="auto"/>
            <w:hideMark/>
          </w:tcPr>
          <w:p w14:paraId="0D266595" w14:textId="77777777" w:rsidR="00BC2FAC" w:rsidRPr="00C52386" w:rsidRDefault="00BC2FAC" w:rsidP="00BC2FAC">
            <w:pPr>
              <w:spacing w:before="120" w:after="120"/>
              <w:rPr>
                <w:rFonts w:ascii="Calibri" w:hAnsi="Calibri" w:cs="Calibri"/>
                <w:sz w:val="20"/>
                <w:szCs w:val="20"/>
                <w:lang w:val="fr-FR" w:eastAsia="fr-FR"/>
              </w:rPr>
            </w:pPr>
            <w:r w:rsidRPr="00C52386">
              <w:rPr>
                <w:rFonts w:ascii="Calibri" w:hAnsi="Calibri" w:cs="Calibri"/>
                <w:sz w:val="20"/>
                <w:szCs w:val="20"/>
                <w:lang w:val="fr-FR" w:eastAsia="fr-FR"/>
              </w:rPr>
              <w:t xml:space="preserve">CSV, HTML (PDF </w:t>
            </w:r>
            <w:proofErr w:type="spellStart"/>
            <w:r w:rsidRPr="00C52386">
              <w:rPr>
                <w:rFonts w:ascii="Calibri" w:hAnsi="Calibri" w:cs="Calibri"/>
                <w:sz w:val="20"/>
                <w:szCs w:val="20"/>
                <w:lang w:val="fr-FR" w:eastAsia="fr-FR"/>
              </w:rPr>
              <w:t>optional</w:t>
            </w:r>
            <w:proofErr w:type="spellEnd"/>
            <w:r w:rsidRPr="00C52386">
              <w:rPr>
                <w:rFonts w:ascii="Calibri" w:hAnsi="Calibri" w:cs="Calibri"/>
                <w:sz w:val="20"/>
                <w:szCs w:val="20"/>
                <w:lang w:val="fr-FR" w:eastAsia="fr-FR"/>
              </w:rPr>
              <w:t>)</w:t>
            </w:r>
          </w:p>
        </w:tc>
        <w:tc>
          <w:tcPr>
            <w:tcW w:w="0" w:type="auto"/>
            <w:hideMark/>
          </w:tcPr>
          <w:p w14:paraId="1513C2DF" w14:textId="1A98A189" w:rsidR="00BC2FAC" w:rsidRPr="00C52386" w:rsidRDefault="00F27FE9" w:rsidP="00BC2FAC">
            <w:pPr>
              <w:spacing w:before="120" w:after="120"/>
              <w:rPr>
                <w:rFonts w:ascii="Calibri" w:hAnsi="Calibri" w:cs="Calibri"/>
                <w:sz w:val="20"/>
                <w:szCs w:val="20"/>
                <w:lang w:eastAsia="fr-FR"/>
              </w:rPr>
            </w:pPr>
            <w:r w:rsidRPr="00F27FE9">
              <w:rPr>
                <w:rFonts w:ascii="Calibri" w:hAnsi="Calibri" w:cs="Calibri"/>
                <w:sz w:val="20"/>
                <w:szCs w:val="20"/>
                <w:lang w:eastAsia="fr-FR"/>
              </w:rPr>
              <w:t>NRTC</w:t>
            </w:r>
            <w:r w:rsidR="00BC2FAC" w:rsidRPr="00C52386">
              <w:rPr>
                <w:rFonts w:ascii="Calibri" w:hAnsi="Calibri" w:cs="Calibri"/>
                <w:sz w:val="20"/>
                <w:szCs w:val="20"/>
                <w:lang w:eastAsia="fr-FR"/>
              </w:rPr>
              <w:t xml:space="preserve"> Iraq portal, CRD</w:t>
            </w:r>
            <w:r w:rsidR="00082FD3" w:rsidRPr="00C52386">
              <w:rPr>
                <w:rFonts w:ascii="Calibri" w:hAnsi="Calibri" w:cs="Calibri"/>
                <w:sz w:val="20"/>
                <w:szCs w:val="20"/>
                <w:lang w:eastAsia="fr-FR"/>
              </w:rPr>
              <w:t xml:space="preserve"> webs</w:t>
            </w:r>
            <w:r w:rsidR="00082FD3">
              <w:rPr>
                <w:rFonts w:ascii="Calibri" w:hAnsi="Calibri" w:cs="Calibri"/>
                <w:sz w:val="20"/>
                <w:szCs w:val="20"/>
                <w:lang w:eastAsia="fr-FR"/>
              </w:rPr>
              <w:t>i</w:t>
            </w:r>
            <w:r w:rsidR="00082FD3" w:rsidRPr="00C52386">
              <w:rPr>
                <w:rFonts w:ascii="Calibri" w:hAnsi="Calibri" w:cs="Calibri"/>
                <w:sz w:val="20"/>
                <w:szCs w:val="20"/>
                <w:lang w:eastAsia="fr-FR"/>
              </w:rPr>
              <w:t>te</w:t>
            </w:r>
          </w:p>
        </w:tc>
      </w:tr>
      <w:tr w:rsidR="00BC2FAC" w:rsidRPr="00BC2FAC" w14:paraId="2171C16D" w14:textId="77777777" w:rsidTr="00C52386">
        <w:tc>
          <w:tcPr>
            <w:tcW w:w="0" w:type="auto"/>
            <w:hideMark/>
          </w:tcPr>
          <w:p w14:paraId="37EE9898" w14:textId="77777777" w:rsidR="00BC2FAC" w:rsidRPr="00C52386" w:rsidRDefault="00BC2FAC" w:rsidP="00BC2FAC">
            <w:pPr>
              <w:spacing w:before="120" w:after="120"/>
              <w:rPr>
                <w:rFonts w:ascii="Calibri" w:hAnsi="Calibri" w:cs="Calibri"/>
                <w:sz w:val="20"/>
                <w:szCs w:val="20"/>
                <w:lang w:val="fr-FR" w:eastAsia="fr-FR"/>
              </w:rPr>
            </w:pPr>
            <w:r w:rsidRPr="00C52386">
              <w:rPr>
                <w:rFonts w:ascii="Calibri" w:hAnsi="Calibri" w:cs="Calibri"/>
                <w:b/>
                <w:bCs/>
                <w:sz w:val="20"/>
                <w:szCs w:val="20"/>
                <w:lang w:val="fr-FR" w:eastAsia="fr-FR"/>
              </w:rPr>
              <w:t xml:space="preserve">Legal </w:t>
            </w:r>
            <w:proofErr w:type="spellStart"/>
            <w:r w:rsidRPr="00C52386">
              <w:rPr>
                <w:rFonts w:ascii="Calibri" w:hAnsi="Calibri" w:cs="Calibri"/>
                <w:b/>
                <w:bCs/>
                <w:sz w:val="20"/>
                <w:szCs w:val="20"/>
                <w:lang w:val="fr-FR" w:eastAsia="fr-FR"/>
              </w:rPr>
              <w:t>Ownership</w:t>
            </w:r>
            <w:proofErr w:type="spellEnd"/>
            <w:r w:rsidRPr="00C52386">
              <w:rPr>
                <w:rFonts w:ascii="Calibri" w:hAnsi="Calibri" w:cs="Calibri"/>
                <w:b/>
                <w:bCs/>
                <w:sz w:val="20"/>
                <w:szCs w:val="20"/>
                <w:lang w:val="fr-FR" w:eastAsia="fr-FR"/>
              </w:rPr>
              <w:t xml:space="preserve"> &amp; Corporate Structure</w:t>
            </w:r>
          </w:p>
        </w:tc>
        <w:tc>
          <w:tcPr>
            <w:tcW w:w="0" w:type="auto"/>
            <w:hideMark/>
          </w:tcPr>
          <w:p w14:paraId="5760DA68" w14:textId="77777777" w:rsidR="00BC2FAC" w:rsidRPr="00C52386" w:rsidRDefault="00BC2FAC" w:rsidP="00BC2FAC">
            <w:pPr>
              <w:spacing w:before="120" w:after="120"/>
              <w:rPr>
                <w:rFonts w:ascii="Calibri" w:hAnsi="Calibri" w:cs="Calibri"/>
                <w:sz w:val="20"/>
                <w:szCs w:val="20"/>
                <w:lang w:eastAsia="fr-FR"/>
              </w:rPr>
            </w:pPr>
            <w:r w:rsidRPr="00C52386">
              <w:rPr>
                <w:rFonts w:ascii="Calibri" w:hAnsi="Calibri" w:cs="Calibri"/>
                <w:sz w:val="20"/>
                <w:szCs w:val="20"/>
                <w:lang w:eastAsia="fr-FR"/>
              </w:rPr>
              <w:t>Disclosure of legal owners, parent companies, and group structures.</w:t>
            </w:r>
          </w:p>
        </w:tc>
        <w:tc>
          <w:tcPr>
            <w:tcW w:w="0" w:type="auto"/>
            <w:hideMark/>
          </w:tcPr>
          <w:p w14:paraId="39A7A3CB" w14:textId="5539D08A" w:rsidR="00BC2FAC" w:rsidRPr="00C52386" w:rsidRDefault="00BC2FAC" w:rsidP="00BC2FAC">
            <w:pPr>
              <w:spacing w:before="120" w:after="120"/>
              <w:rPr>
                <w:rFonts w:ascii="Calibri" w:hAnsi="Calibri" w:cs="Calibri"/>
                <w:sz w:val="20"/>
                <w:szCs w:val="20"/>
                <w:lang w:eastAsia="fr-FR"/>
              </w:rPr>
            </w:pPr>
            <w:r w:rsidRPr="00C52386">
              <w:rPr>
                <w:rFonts w:ascii="Calibri" w:hAnsi="Calibri" w:cs="Calibri"/>
                <w:sz w:val="20"/>
                <w:szCs w:val="20"/>
                <w:lang w:eastAsia="fr-FR"/>
              </w:rPr>
              <w:t>Ministry of Trade</w:t>
            </w:r>
            <w:r w:rsidR="00855E92">
              <w:rPr>
                <w:rFonts w:ascii="Calibri" w:hAnsi="Calibri" w:cs="Calibri"/>
                <w:sz w:val="20"/>
                <w:szCs w:val="20"/>
                <w:lang w:eastAsia="fr-FR"/>
              </w:rPr>
              <w:t xml:space="preserve"> (CRD)</w:t>
            </w:r>
            <w:r w:rsidRPr="00C52386">
              <w:rPr>
                <w:rFonts w:ascii="Calibri" w:hAnsi="Calibri" w:cs="Calibri"/>
                <w:sz w:val="20"/>
                <w:szCs w:val="20"/>
                <w:lang w:eastAsia="fr-FR"/>
              </w:rPr>
              <w:t>, Private Extractive Companies and Subcontractors</w:t>
            </w:r>
          </w:p>
        </w:tc>
        <w:tc>
          <w:tcPr>
            <w:tcW w:w="0" w:type="auto"/>
            <w:hideMark/>
          </w:tcPr>
          <w:p w14:paraId="6F437EAE" w14:textId="77777777" w:rsidR="00BC2FAC" w:rsidRPr="00C52386" w:rsidRDefault="00BC2FAC" w:rsidP="00BC2FAC">
            <w:pPr>
              <w:spacing w:before="120" w:after="120"/>
              <w:rPr>
                <w:rFonts w:ascii="Calibri" w:hAnsi="Calibri" w:cs="Calibri"/>
                <w:sz w:val="20"/>
                <w:szCs w:val="20"/>
                <w:lang w:val="fr-FR" w:eastAsia="fr-FR"/>
              </w:rPr>
            </w:pPr>
            <w:r w:rsidRPr="00C52386">
              <w:rPr>
                <w:rFonts w:ascii="Calibri" w:hAnsi="Calibri" w:cs="Calibri"/>
                <w:sz w:val="20"/>
                <w:szCs w:val="20"/>
                <w:lang w:val="fr-FR" w:eastAsia="fr-FR"/>
              </w:rPr>
              <w:t xml:space="preserve">By </w:t>
            </w:r>
            <w:proofErr w:type="spellStart"/>
            <w:r w:rsidRPr="00C52386">
              <w:rPr>
                <w:rFonts w:ascii="Calibri" w:hAnsi="Calibri" w:cs="Calibri"/>
                <w:sz w:val="20"/>
                <w:szCs w:val="20"/>
                <w:lang w:val="fr-FR" w:eastAsia="fr-FR"/>
              </w:rPr>
              <w:t>company</w:t>
            </w:r>
            <w:proofErr w:type="spellEnd"/>
          </w:p>
        </w:tc>
        <w:tc>
          <w:tcPr>
            <w:tcW w:w="0" w:type="auto"/>
            <w:hideMark/>
          </w:tcPr>
          <w:p w14:paraId="0B5FD48C" w14:textId="77777777" w:rsidR="00BC2FAC" w:rsidRPr="00C52386" w:rsidRDefault="00BC2FAC" w:rsidP="00BC2FAC">
            <w:pPr>
              <w:spacing w:before="120" w:after="120"/>
              <w:rPr>
                <w:rFonts w:ascii="Calibri" w:hAnsi="Calibri" w:cs="Calibri"/>
                <w:sz w:val="20"/>
                <w:szCs w:val="20"/>
                <w:lang w:val="fr-FR" w:eastAsia="fr-FR"/>
              </w:rPr>
            </w:pPr>
            <w:proofErr w:type="spellStart"/>
            <w:r w:rsidRPr="00C52386">
              <w:rPr>
                <w:rFonts w:ascii="Calibri" w:hAnsi="Calibri" w:cs="Calibri"/>
                <w:sz w:val="20"/>
                <w:szCs w:val="20"/>
                <w:lang w:val="fr-FR" w:eastAsia="fr-FR"/>
              </w:rPr>
              <w:t>Annually</w:t>
            </w:r>
            <w:proofErr w:type="spellEnd"/>
            <w:r w:rsidRPr="00C52386">
              <w:rPr>
                <w:rFonts w:ascii="Calibri" w:hAnsi="Calibri" w:cs="Calibri"/>
                <w:sz w:val="20"/>
                <w:szCs w:val="20"/>
                <w:lang w:val="fr-FR" w:eastAsia="fr-FR"/>
              </w:rPr>
              <w:t xml:space="preserve"> &amp; Updates</w:t>
            </w:r>
          </w:p>
        </w:tc>
        <w:tc>
          <w:tcPr>
            <w:tcW w:w="0" w:type="auto"/>
            <w:hideMark/>
          </w:tcPr>
          <w:p w14:paraId="7669B1BC" w14:textId="77777777" w:rsidR="00BC2FAC" w:rsidRPr="00C52386" w:rsidRDefault="00BC2FAC" w:rsidP="00BC2FAC">
            <w:pPr>
              <w:spacing w:before="120" w:after="120"/>
              <w:rPr>
                <w:rFonts w:ascii="Calibri" w:hAnsi="Calibri" w:cs="Calibri"/>
                <w:sz w:val="20"/>
                <w:szCs w:val="20"/>
                <w:lang w:val="fr-FR" w:eastAsia="fr-FR"/>
              </w:rPr>
            </w:pPr>
            <w:r w:rsidRPr="00C52386">
              <w:rPr>
                <w:rFonts w:ascii="Calibri" w:hAnsi="Calibri" w:cs="Calibri"/>
                <w:sz w:val="20"/>
                <w:szCs w:val="20"/>
                <w:lang w:val="fr-FR" w:eastAsia="fr-FR"/>
              </w:rPr>
              <w:t>CSV, HTML</w:t>
            </w:r>
          </w:p>
        </w:tc>
        <w:tc>
          <w:tcPr>
            <w:tcW w:w="0" w:type="auto"/>
            <w:hideMark/>
          </w:tcPr>
          <w:p w14:paraId="4FD45FF3" w14:textId="714B2CF2" w:rsidR="00BC2FAC" w:rsidRPr="00C52386" w:rsidRDefault="00BC2FAC" w:rsidP="00BC2FAC">
            <w:pPr>
              <w:spacing w:before="120" w:after="120"/>
              <w:rPr>
                <w:rFonts w:ascii="Calibri" w:hAnsi="Calibri" w:cs="Calibri"/>
                <w:sz w:val="20"/>
                <w:szCs w:val="20"/>
                <w:lang w:val="fr-FR" w:eastAsia="fr-FR"/>
              </w:rPr>
            </w:pPr>
            <w:r w:rsidRPr="00C52386">
              <w:rPr>
                <w:rFonts w:ascii="Calibri" w:hAnsi="Calibri" w:cs="Calibri"/>
                <w:sz w:val="20"/>
                <w:szCs w:val="20"/>
                <w:lang w:val="fr-FR" w:eastAsia="fr-FR"/>
              </w:rPr>
              <w:t>CRD</w:t>
            </w:r>
            <w:r w:rsidR="00082FD3">
              <w:rPr>
                <w:rFonts w:ascii="Calibri" w:hAnsi="Calibri" w:cs="Calibri"/>
                <w:sz w:val="20"/>
                <w:szCs w:val="20"/>
                <w:lang w:val="fr-FR" w:eastAsia="fr-FR"/>
              </w:rPr>
              <w:t xml:space="preserve"> </w:t>
            </w:r>
            <w:proofErr w:type="spellStart"/>
            <w:r w:rsidR="00082FD3">
              <w:rPr>
                <w:rFonts w:ascii="Calibri" w:hAnsi="Calibri" w:cs="Calibri"/>
                <w:sz w:val="20"/>
                <w:szCs w:val="20"/>
                <w:lang w:val="fr-FR" w:eastAsia="fr-FR"/>
              </w:rPr>
              <w:t>website</w:t>
            </w:r>
            <w:proofErr w:type="spellEnd"/>
            <w:r w:rsidRPr="00C52386">
              <w:rPr>
                <w:rFonts w:ascii="Calibri" w:hAnsi="Calibri" w:cs="Calibri"/>
                <w:sz w:val="20"/>
                <w:szCs w:val="20"/>
                <w:lang w:val="fr-FR" w:eastAsia="fr-FR"/>
              </w:rPr>
              <w:t xml:space="preserve">, </w:t>
            </w:r>
            <w:r w:rsidR="00F27FE9" w:rsidRPr="00F27FE9">
              <w:rPr>
                <w:rFonts w:ascii="Calibri" w:hAnsi="Calibri" w:cs="Calibri"/>
                <w:sz w:val="20"/>
                <w:szCs w:val="20"/>
                <w:lang w:val="fr-FR" w:eastAsia="fr-FR"/>
              </w:rPr>
              <w:t>NRTC</w:t>
            </w:r>
            <w:r w:rsidRPr="00C52386">
              <w:rPr>
                <w:rFonts w:ascii="Calibri" w:hAnsi="Calibri" w:cs="Calibri"/>
                <w:sz w:val="20"/>
                <w:szCs w:val="20"/>
                <w:lang w:val="fr-FR" w:eastAsia="fr-FR"/>
              </w:rPr>
              <w:t xml:space="preserve"> Iraq portal</w:t>
            </w:r>
          </w:p>
        </w:tc>
      </w:tr>
      <w:tr w:rsidR="00BC2FAC" w:rsidRPr="00BC2FAC" w14:paraId="17D08C42" w14:textId="77777777" w:rsidTr="00C52386">
        <w:tc>
          <w:tcPr>
            <w:tcW w:w="0" w:type="auto"/>
            <w:hideMark/>
          </w:tcPr>
          <w:p w14:paraId="24162567" w14:textId="77777777" w:rsidR="00BC2FAC" w:rsidRPr="00C52386" w:rsidRDefault="00BC2FAC" w:rsidP="00BC2FAC">
            <w:pPr>
              <w:spacing w:before="120" w:after="120"/>
              <w:rPr>
                <w:rFonts w:ascii="Calibri" w:hAnsi="Calibri" w:cs="Calibri"/>
                <w:sz w:val="20"/>
                <w:szCs w:val="20"/>
                <w:lang w:val="fr-FR" w:eastAsia="fr-FR"/>
              </w:rPr>
            </w:pPr>
            <w:r w:rsidRPr="00C52386">
              <w:rPr>
                <w:rFonts w:ascii="Calibri" w:hAnsi="Calibri" w:cs="Calibri"/>
                <w:b/>
                <w:bCs/>
                <w:sz w:val="20"/>
                <w:szCs w:val="20"/>
                <w:lang w:val="fr-FR" w:eastAsia="fr-FR"/>
              </w:rPr>
              <w:t xml:space="preserve">SOE </w:t>
            </w:r>
            <w:proofErr w:type="spellStart"/>
            <w:r w:rsidRPr="00C52386">
              <w:rPr>
                <w:rFonts w:ascii="Calibri" w:hAnsi="Calibri" w:cs="Calibri"/>
                <w:b/>
                <w:bCs/>
                <w:sz w:val="20"/>
                <w:szCs w:val="20"/>
                <w:lang w:val="fr-FR" w:eastAsia="fr-FR"/>
              </w:rPr>
              <w:t>Ownership</w:t>
            </w:r>
            <w:proofErr w:type="spellEnd"/>
          </w:p>
        </w:tc>
        <w:tc>
          <w:tcPr>
            <w:tcW w:w="0" w:type="auto"/>
            <w:hideMark/>
          </w:tcPr>
          <w:p w14:paraId="00A599BE" w14:textId="77777777" w:rsidR="00BC2FAC" w:rsidRPr="00C52386" w:rsidRDefault="00BC2FAC" w:rsidP="00BC2FAC">
            <w:pPr>
              <w:spacing w:before="120" w:after="120"/>
              <w:rPr>
                <w:rFonts w:ascii="Calibri" w:hAnsi="Calibri" w:cs="Calibri"/>
                <w:sz w:val="20"/>
                <w:szCs w:val="20"/>
                <w:lang w:eastAsia="fr-FR"/>
              </w:rPr>
            </w:pPr>
            <w:r w:rsidRPr="00C52386">
              <w:rPr>
                <w:rFonts w:ascii="Calibri" w:hAnsi="Calibri" w:cs="Calibri"/>
                <w:sz w:val="20"/>
                <w:szCs w:val="20"/>
                <w:lang w:eastAsia="fr-FR"/>
              </w:rPr>
              <w:t>Information on state shareholding in extractive SOEs, including percentage and legal basis.</w:t>
            </w:r>
          </w:p>
        </w:tc>
        <w:tc>
          <w:tcPr>
            <w:tcW w:w="0" w:type="auto"/>
            <w:hideMark/>
          </w:tcPr>
          <w:p w14:paraId="6C07BFC6" w14:textId="77777777" w:rsidR="00BC2FAC" w:rsidRPr="00C52386" w:rsidRDefault="00BC2FAC" w:rsidP="00BC2FAC">
            <w:pPr>
              <w:spacing w:before="120" w:after="120"/>
              <w:rPr>
                <w:rFonts w:ascii="Calibri" w:hAnsi="Calibri" w:cs="Calibri"/>
                <w:sz w:val="20"/>
                <w:szCs w:val="20"/>
                <w:lang w:val="fr-FR" w:eastAsia="fr-FR"/>
              </w:rPr>
            </w:pPr>
            <w:r w:rsidRPr="00C52386">
              <w:rPr>
                <w:rFonts w:ascii="Calibri" w:hAnsi="Calibri" w:cs="Calibri"/>
                <w:sz w:val="20"/>
                <w:szCs w:val="20"/>
                <w:lang w:val="fr-FR" w:eastAsia="fr-FR"/>
              </w:rPr>
              <w:t>State-</w:t>
            </w:r>
            <w:proofErr w:type="spellStart"/>
            <w:r w:rsidRPr="00C52386">
              <w:rPr>
                <w:rFonts w:ascii="Calibri" w:hAnsi="Calibri" w:cs="Calibri"/>
                <w:sz w:val="20"/>
                <w:szCs w:val="20"/>
                <w:lang w:val="fr-FR" w:eastAsia="fr-FR"/>
              </w:rPr>
              <w:t>Owned</w:t>
            </w:r>
            <w:proofErr w:type="spellEnd"/>
            <w:r w:rsidRPr="00C52386">
              <w:rPr>
                <w:rFonts w:ascii="Calibri" w:hAnsi="Calibri" w:cs="Calibri"/>
                <w:sz w:val="20"/>
                <w:szCs w:val="20"/>
                <w:lang w:val="fr-FR" w:eastAsia="fr-FR"/>
              </w:rPr>
              <w:t xml:space="preserve"> </w:t>
            </w:r>
            <w:proofErr w:type="spellStart"/>
            <w:r w:rsidRPr="00C52386">
              <w:rPr>
                <w:rFonts w:ascii="Calibri" w:hAnsi="Calibri" w:cs="Calibri"/>
                <w:sz w:val="20"/>
                <w:szCs w:val="20"/>
                <w:lang w:val="fr-FR" w:eastAsia="fr-FR"/>
              </w:rPr>
              <w:t>Enterprises</w:t>
            </w:r>
            <w:proofErr w:type="spellEnd"/>
            <w:r w:rsidRPr="00C52386">
              <w:rPr>
                <w:rFonts w:ascii="Calibri" w:hAnsi="Calibri" w:cs="Calibri"/>
                <w:sz w:val="20"/>
                <w:szCs w:val="20"/>
                <w:lang w:val="fr-FR" w:eastAsia="fr-FR"/>
              </w:rPr>
              <w:t xml:space="preserve"> (</w:t>
            </w:r>
            <w:proofErr w:type="spellStart"/>
            <w:r w:rsidRPr="00C52386">
              <w:rPr>
                <w:rFonts w:ascii="Calibri" w:hAnsi="Calibri" w:cs="Calibri"/>
                <w:sz w:val="20"/>
                <w:szCs w:val="20"/>
                <w:lang w:val="fr-FR" w:eastAsia="fr-FR"/>
              </w:rPr>
              <w:t>SOEs</w:t>
            </w:r>
            <w:proofErr w:type="spellEnd"/>
            <w:r w:rsidRPr="00C52386">
              <w:rPr>
                <w:rFonts w:ascii="Calibri" w:hAnsi="Calibri" w:cs="Calibri"/>
                <w:sz w:val="20"/>
                <w:szCs w:val="20"/>
                <w:lang w:val="fr-FR" w:eastAsia="fr-FR"/>
              </w:rPr>
              <w:t>)</w:t>
            </w:r>
          </w:p>
        </w:tc>
        <w:tc>
          <w:tcPr>
            <w:tcW w:w="0" w:type="auto"/>
            <w:hideMark/>
          </w:tcPr>
          <w:p w14:paraId="00550027" w14:textId="77777777" w:rsidR="00BC2FAC" w:rsidRPr="00C52386" w:rsidRDefault="00BC2FAC" w:rsidP="00BC2FAC">
            <w:pPr>
              <w:spacing w:before="120" w:after="120"/>
              <w:rPr>
                <w:rFonts w:ascii="Calibri" w:hAnsi="Calibri" w:cs="Calibri"/>
                <w:sz w:val="20"/>
                <w:szCs w:val="20"/>
                <w:lang w:val="fr-FR" w:eastAsia="fr-FR"/>
              </w:rPr>
            </w:pPr>
            <w:r w:rsidRPr="00C52386">
              <w:rPr>
                <w:rFonts w:ascii="Calibri" w:hAnsi="Calibri" w:cs="Calibri"/>
                <w:sz w:val="20"/>
                <w:szCs w:val="20"/>
                <w:lang w:val="fr-FR" w:eastAsia="fr-FR"/>
              </w:rPr>
              <w:t>By SOE</w:t>
            </w:r>
          </w:p>
        </w:tc>
        <w:tc>
          <w:tcPr>
            <w:tcW w:w="0" w:type="auto"/>
            <w:hideMark/>
          </w:tcPr>
          <w:p w14:paraId="57F38280" w14:textId="77777777" w:rsidR="00BC2FAC" w:rsidRPr="00C52386" w:rsidRDefault="00BC2FAC" w:rsidP="00BC2FAC">
            <w:pPr>
              <w:spacing w:before="120" w:after="120"/>
              <w:rPr>
                <w:rFonts w:ascii="Calibri" w:hAnsi="Calibri" w:cs="Calibri"/>
                <w:sz w:val="20"/>
                <w:szCs w:val="20"/>
                <w:lang w:val="fr-FR" w:eastAsia="fr-FR"/>
              </w:rPr>
            </w:pPr>
            <w:proofErr w:type="spellStart"/>
            <w:r w:rsidRPr="00C52386">
              <w:rPr>
                <w:rFonts w:ascii="Calibri" w:hAnsi="Calibri" w:cs="Calibri"/>
                <w:sz w:val="20"/>
                <w:szCs w:val="20"/>
                <w:lang w:val="fr-FR" w:eastAsia="fr-FR"/>
              </w:rPr>
              <w:t>Annually</w:t>
            </w:r>
            <w:proofErr w:type="spellEnd"/>
            <w:r w:rsidRPr="00C52386">
              <w:rPr>
                <w:rFonts w:ascii="Calibri" w:hAnsi="Calibri" w:cs="Calibri"/>
                <w:sz w:val="20"/>
                <w:szCs w:val="20"/>
                <w:lang w:val="fr-FR" w:eastAsia="fr-FR"/>
              </w:rPr>
              <w:t xml:space="preserve"> &amp; Updates</w:t>
            </w:r>
          </w:p>
        </w:tc>
        <w:tc>
          <w:tcPr>
            <w:tcW w:w="0" w:type="auto"/>
            <w:hideMark/>
          </w:tcPr>
          <w:p w14:paraId="33E25A65" w14:textId="77777777" w:rsidR="00BC2FAC" w:rsidRPr="00C52386" w:rsidRDefault="00BC2FAC" w:rsidP="00BC2FAC">
            <w:pPr>
              <w:spacing w:before="120" w:after="120"/>
              <w:rPr>
                <w:rFonts w:ascii="Calibri" w:hAnsi="Calibri" w:cs="Calibri"/>
                <w:sz w:val="20"/>
                <w:szCs w:val="20"/>
                <w:lang w:val="fr-FR" w:eastAsia="fr-FR"/>
              </w:rPr>
            </w:pPr>
            <w:r w:rsidRPr="00C52386">
              <w:rPr>
                <w:rFonts w:ascii="Calibri" w:hAnsi="Calibri" w:cs="Calibri"/>
                <w:sz w:val="20"/>
                <w:szCs w:val="20"/>
                <w:lang w:val="fr-FR" w:eastAsia="fr-FR"/>
              </w:rPr>
              <w:t>CSV, HTML</w:t>
            </w:r>
          </w:p>
        </w:tc>
        <w:tc>
          <w:tcPr>
            <w:tcW w:w="0" w:type="auto"/>
            <w:hideMark/>
          </w:tcPr>
          <w:p w14:paraId="0DB29A27" w14:textId="14167397" w:rsidR="00BC2FAC" w:rsidRPr="00C52386" w:rsidRDefault="00855E92" w:rsidP="00BC2FAC">
            <w:pPr>
              <w:spacing w:before="120" w:after="120"/>
              <w:rPr>
                <w:rFonts w:ascii="Calibri" w:hAnsi="Calibri" w:cs="Calibri"/>
                <w:sz w:val="20"/>
                <w:szCs w:val="20"/>
                <w:lang w:val="fr-FR" w:eastAsia="fr-FR"/>
              </w:rPr>
            </w:pPr>
            <w:r>
              <w:rPr>
                <w:rFonts w:ascii="Calibri" w:hAnsi="Calibri" w:cs="Calibri"/>
                <w:sz w:val="20"/>
                <w:szCs w:val="20"/>
                <w:lang w:val="fr-FR" w:eastAsia="fr-FR"/>
              </w:rPr>
              <w:t xml:space="preserve">SOE </w:t>
            </w:r>
            <w:proofErr w:type="spellStart"/>
            <w:r>
              <w:rPr>
                <w:rFonts w:ascii="Calibri" w:hAnsi="Calibri" w:cs="Calibri"/>
                <w:sz w:val="20"/>
                <w:szCs w:val="20"/>
                <w:lang w:val="fr-FR" w:eastAsia="fr-FR"/>
              </w:rPr>
              <w:t>webste</w:t>
            </w:r>
            <w:proofErr w:type="spellEnd"/>
            <w:r>
              <w:rPr>
                <w:rFonts w:ascii="Calibri" w:hAnsi="Calibri" w:cs="Calibri"/>
                <w:sz w:val="20"/>
                <w:szCs w:val="20"/>
                <w:lang w:val="fr-FR" w:eastAsia="fr-FR"/>
              </w:rPr>
              <w:t xml:space="preserve">, </w:t>
            </w:r>
            <w:r w:rsidR="00F27FE9" w:rsidRPr="00F27FE9">
              <w:rPr>
                <w:rFonts w:ascii="Calibri" w:hAnsi="Calibri" w:cs="Calibri"/>
                <w:sz w:val="20"/>
                <w:szCs w:val="20"/>
                <w:lang w:val="fr-FR" w:eastAsia="fr-FR"/>
              </w:rPr>
              <w:t xml:space="preserve">NRTC </w:t>
            </w:r>
            <w:r w:rsidR="00BC2FAC" w:rsidRPr="00C52386">
              <w:rPr>
                <w:rFonts w:ascii="Calibri" w:hAnsi="Calibri" w:cs="Calibri"/>
                <w:sz w:val="20"/>
                <w:szCs w:val="20"/>
                <w:lang w:val="fr-FR" w:eastAsia="fr-FR"/>
              </w:rPr>
              <w:t>Iraq portal</w:t>
            </w:r>
          </w:p>
        </w:tc>
      </w:tr>
      <w:tr w:rsidR="00BC2FAC" w:rsidRPr="00BC2FAC" w14:paraId="02837D1C" w14:textId="77777777" w:rsidTr="00C52386">
        <w:tc>
          <w:tcPr>
            <w:tcW w:w="0" w:type="auto"/>
            <w:hideMark/>
          </w:tcPr>
          <w:p w14:paraId="36A17B65" w14:textId="77777777" w:rsidR="00BC2FAC" w:rsidRPr="00C52386" w:rsidRDefault="00BC2FAC" w:rsidP="00BC2FAC">
            <w:pPr>
              <w:spacing w:before="120" w:after="120"/>
              <w:rPr>
                <w:rFonts w:ascii="Calibri" w:hAnsi="Calibri" w:cs="Calibri"/>
                <w:sz w:val="20"/>
                <w:szCs w:val="20"/>
                <w:lang w:eastAsia="fr-FR"/>
              </w:rPr>
            </w:pPr>
            <w:r w:rsidRPr="00C52386">
              <w:rPr>
                <w:rFonts w:ascii="Calibri" w:hAnsi="Calibri" w:cs="Calibri"/>
                <w:b/>
                <w:bCs/>
                <w:sz w:val="20"/>
                <w:szCs w:val="20"/>
                <w:lang w:eastAsia="fr-FR"/>
              </w:rPr>
              <w:t>Publicly Listed Companies &amp; Stock Exchange Filings</w:t>
            </w:r>
          </w:p>
        </w:tc>
        <w:tc>
          <w:tcPr>
            <w:tcW w:w="0" w:type="auto"/>
            <w:hideMark/>
          </w:tcPr>
          <w:p w14:paraId="6C07AD1A" w14:textId="77777777" w:rsidR="00BC2FAC" w:rsidRPr="00C52386" w:rsidRDefault="00BC2FAC" w:rsidP="00BC2FAC">
            <w:pPr>
              <w:spacing w:before="120" w:after="120"/>
              <w:rPr>
                <w:rFonts w:ascii="Calibri" w:hAnsi="Calibri" w:cs="Calibri"/>
                <w:sz w:val="20"/>
                <w:szCs w:val="20"/>
                <w:lang w:eastAsia="fr-FR"/>
              </w:rPr>
            </w:pPr>
            <w:r w:rsidRPr="00C52386">
              <w:rPr>
                <w:rFonts w:ascii="Calibri" w:hAnsi="Calibri" w:cs="Calibri"/>
                <w:sz w:val="20"/>
                <w:szCs w:val="20"/>
                <w:lang w:eastAsia="fr-FR"/>
              </w:rPr>
              <w:t>Ownership structure and disclosures required under stock exchange rules.</w:t>
            </w:r>
          </w:p>
        </w:tc>
        <w:tc>
          <w:tcPr>
            <w:tcW w:w="0" w:type="auto"/>
            <w:hideMark/>
          </w:tcPr>
          <w:p w14:paraId="7D88AF5C" w14:textId="77777777" w:rsidR="00BC2FAC" w:rsidRPr="00C52386" w:rsidRDefault="00BC2FAC" w:rsidP="00BC2FAC">
            <w:pPr>
              <w:spacing w:before="120" w:after="120"/>
              <w:rPr>
                <w:rFonts w:ascii="Calibri" w:hAnsi="Calibri" w:cs="Calibri"/>
                <w:sz w:val="20"/>
                <w:szCs w:val="20"/>
                <w:lang w:val="fr-FR" w:eastAsia="fr-FR"/>
              </w:rPr>
            </w:pPr>
            <w:proofErr w:type="spellStart"/>
            <w:r w:rsidRPr="00C52386">
              <w:rPr>
                <w:rFonts w:ascii="Calibri" w:hAnsi="Calibri" w:cs="Calibri"/>
                <w:sz w:val="20"/>
                <w:szCs w:val="20"/>
                <w:lang w:val="fr-FR" w:eastAsia="fr-FR"/>
              </w:rPr>
              <w:t>Publicly</w:t>
            </w:r>
            <w:proofErr w:type="spellEnd"/>
            <w:r w:rsidRPr="00C52386">
              <w:rPr>
                <w:rFonts w:ascii="Calibri" w:hAnsi="Calibri" w:cs="Calibri"/>
                <w:sz w:val="20"/>
                <w:szCs w:val="20"/>
                <w:lang w:val="fr-FR" w:eastAsia="fr-FR"/>
              </w:rPr>
              <w:t xml:space="preserve"> </w:t>
            </w:r>
            <w:proofErr w:type="spellStart"/>
            <w:r w:rsidRPr="00C52386">
              <w:rPr>
                <w:rFonts w:ascii="Calibri" w:hAnsi="Calibri" w:cs="Calibri"/>
                <w:sz w:val="20"/>
                <w:szCs w:val="20"/>
                <w:lang w:val="fr-FR" w:eastAsia="fr-FR"/>
              </w:rPr>
              <w:t>Listed</w:t>
            </w:r>
            <w:proofErr w:type="spellEnd"/>
            <w:r w:rsidRPr="00C52386">
              <w:rPr>
                <w:rFonts w:ascii="Calibri" w:hAnsi="Calibri" w:cs="Calibri"/>
                <w:sz w:val="20"/>
                <w:szCs w:val="20"/>
                <w:lang w:val="fr-FR" w:eastAsia="fr-FR"/>
              </w:rPr>
              <w:t xml:space="preserve"> Extractive </w:t>
            </w:r>
            <w:proofErr w:type="spellStart"/>
            <w:r w:rsidRPr="00C52386">
              <w:rPr>
                <w:rFonts w:ascii="Calibri" w:hAnsi="Calibri" w:cs="Calibri"/>
                <w:sz w:val="20"/>
                <w:szCs w:val="20"/>
                <w:lang w:val="fr-FR" w:eastAsia="fr-FR"/>
              </w:rPr>
              <w:t>Companies</w:t>
            </w:r>
            <w:proofErr w:type="spellEnd"/>
          </w:p>
        </w:tc>
        <w:tc>
          <w:tcPr>
            <w:tcW w:w="0" w:type="auto"/>
            <w:hideMark/>
          </w:tcPr>
          <w:p w14:paraId="7FBC526E" w14:textId="77777777" w:rsidR="00BC2FAC" w:rsidRPr="00C52386" w:rsidRDefault="00BC2FAC" w:rsidP="00BC2FAC">
            <w:pPr>
              <w:spacing w:before="120" w:after="120"/>
              <w:rPr>
                <w:rFonts w:ascii="Calibri" w:hAnsi="Calibri" w:cs="Calibri"/>
                <w:sz w:val="20"/>
                <w:szCs w:val="20"/>
                <w:lang w:eastAsia="fr-FR"/>
              </w:rPr>
            </w:pPr>
            <w:r w:rsidRPr="00C52386">
              <w:rPr>
                <w:rFonts w:ascii="Calibri" w:hAnsi="Calibri" w:cs="Calibri"/>
                <w:sz w:val="20"/>
                <w:szCs w:val="20"/>
                <w:lang w:eastAsia="fr-FR"/>
              </w:rPr>
              <w:t>By company and stock exchange</w:t>
            </w:r>
          </w:p>
        </w:tc>
        <w:tc>
          <w:tcPr>
            <w:tcW w:w="0" w:type="auto"/>
            <w:hideMark/>
          </w:tcPr>
          <w:p w14:paraId="76B34975" w14:textId="77777777" w:rsidR="00BC2FAC" w:rsidRPr="00C52386" w:rsidRDefault="00BC2FAC" w:rsidP="00BC2FAC">
            <w:pPr>
              <w:spacing w:before="120" w:after="120"/>
              <w:rPr>
                <w:rFonts w:ascii="Calibri" w:hAnsi="Calibri" w:cs="Calibri"/>
                <w:sz w:val="20"/>
                <w:szCs w:val="20"/>
                <w:lang w:val="fr-FR" w:eastAsia="fr-FR"/>
              </w:rPr>
            </w:pPr>
            <w:proofErr w:type="spellStart"/>
            <w:r w:rsidRPr="00C52386">
              <w:rPr>
                <w:rFonts w:ascii="Calibri" w:hAnsi="Calibri" w:cs="Calibri"/>
                <w:sz w:val="20"/>
                <w:szCs w:val="20"/>
                <w:lang w:val="fr-FR" w:eastAsia="fr-FR"/>
              </w:rPr>
              <w:t>Annually</w:t>
            </w:r>
            <w:proofErr w:type="spellEnd"/>
            <w:r w:rsidRPr="00C52386">
              <w:rPr>
                <w:rFonts w:ascii="Calibri" w:hAnsi="Calibri" w:cs="Calibri"/>
                <w:sz w:val="20"/>
                <w:szCs w:val="20"/>
                <w:lang w:val="fr-FR" w:eastAsia="fr-FR"/>
              </w:rPr>
              <w:t xml:space="preserve"> &amp; Updates</w:t>
            </w:r>
          </w:p>
        </w:tc>
        <w:tc>
          <w:tcPr>
            <w:tcW w:w="0" w:type="auto"/>
            <w:hideMark/>
          </w:tcPr>
          <w:p w14:paraId="57160550" w14:textId="7D7FC188" w:rsidR="00BC2FAC" w:rsidRPr="00C52386" w:rsidRDefault="008E24AA" w:rsidP="008E24AA">
            <w:pPr>
              <w:spacing w:before="120" w:after="120"/>
              <w:rPr>
                <w:rFonts w:ascii="Calibri" w:hAnsi="Calibri" w:cs="Calibri"/>
                <w:sz w:val="20"/>
                <w:szCs w:val="20"/>
                <w:lang w:eastAsia="fr-FR"/>
              </w:rPr>
            </w:pPr>
            <w:r w:rsidRPr="008E24AA">
              <w:rPr>
                <w:rFonts w:ascii="Calibri" w:hAnsi="Calibri" w:cs="Calibri"/>
                <w:sz w:val="20"/>
                <w:szCs w:val="20"/>
                <w:lang w:eastAsia="fr-FR"/>
              </w:rPr>
              <w:t>Hyperlink to web pages, CSV</w:t>
            </w:r>
          </w:p>
        </w:tc>
        <w:tc>
          <w:tcPr>
            <w:tcW w:w="0" w:type="auto"/>
            <w:hideMark/>
          </w:tcPr>
          <w:p w14:paraId="02D6B8FD" w14:textId="112711F7" w:rsidR="00BC2FAC" w:rsidRPr="00C52386" w:rsidRDefault="00BC2FAC" w:rsidP="00BC2FAC">
            <w:pPr>
              <w:spacing w:before="120" w:after="120"/>
              <w:rPr>
                <w:rFonts w:ascii="Calibri" w:hAnsi="Calibri" w:cs="Calibri"/>
                <w:sz w:val="20"/>
                <w:szCs w:val="20"/>
                <w:lang w:val="fr-FR" w:eastAsia="fr-FR"/>
              </w:rPr>
            </w:pPr>
            <w:r w:rsidRPr="00C52386">
              <w:rPr>
                <w:rFonts w:ascii="Calibri" w:hAnsi="Calibri" w:cs="Calibri"/>
                <w:sz w:val="20"/>
                <w:szCs w:val="20"/>
                <w:lang w:val="fr-FR" w:eastAsia="fr-FR"/>
              </w:rPr>
              <w:t>CRD</w:t>
            </w:r>
            <w:r w:rsidR="00082FD3">
              <w:rPr>
                <w:rFonts w:ascii="Calibri" w:hAnsi="Calibri" w:cs="Calibri"/>
                <w:sz w:val="20"/>
                <w:szCs w:val="20"/>
                <w:lang w:val="fr-FR" w:eastAsia="fr-FR"/>
              </w:rPr>
              <w:t xml:space="preserve"> </w:t>
            </w:r>
            <w:proofErr w:type="spellStart"/>
            <w:r w:rsidR="00082FD3">
              <w:rPr>
                <w:rFonts w:ascii="Calibri" w:hAnsi="Calibri" w:cs="Calibri"/>
                <w:sz w:val="20"/>
                <w:szCs w:val="20"/>
                <w:lang w:val="fr-FR" w:eastAsia="fr-FR"/>
              </w:rPr>
              <w:t>webs</w:t>
            </w:r>
            <w:r w:rsidR="005972C4">
              <w:rPr>
                <w:rFonts w:ascii="Calibri" w:hAnsi="Calibri" w:cs="Calibri"/>
                <w:sz w:val="20"/>
                <w:szCs w:val="20"/>
                <w:lang w:val="fr-FR" w:eastAsia="fr-FR"/>
              </w:rPr>
              <w:t>ite</w:t>
            </w:r>
            <w:proofErr w:type="spellEnd"/>
            <w:r w:rsidR="00082FD3">
              <w:rPr>
                <w:rFonts w:ascii="Calibri" w:hAnsi="Calibri" w:cs="Calibri"/>
                <w:sz w:val="20"/>
                <w:szCs w:val="20"/>
                <w:lang w:val="fr-FR" w:eastAsia="fr-FR"/>
              </w:rPr>
              <w:t xml:space="preserve"> </w:t>
            </w:r>
            <w:r w:rsidRPr="00C52386">
              <w:rPr>
                <w:rFonts w:ascii="Calibri" w:hAnsi="Calibri" w:cs="Calibri"/>
                <w:sz w:val="20"/>
                <w:szCs w:val="20"/>
                <w:lang w:val="fr-FR" w:eastAsia="fr-FR"/>
              </w:rPr>
              <w:t xml:space="preserve">, </w:t>
            </w:r>
            <w:r w:rsidR="00F27FE9" w:rsidRPr="00F27FE9">
              <w:rPr>
                <w:rFonts w:ascii="Calibri" w:hAnsi="Calibri" w:cs="Calibri"/>
                <w:sz w:val="20"/>
                <w:szCs w:val="20"/>
                <w:lang w:val="fr-FR" w:eastAsia="fr-FR"/>
              </w:rPr>
              <w:t>NRTC</w:t>
            </w:r>
            <w:r w:rsidRPr="00C52386">
              <w:rPr>
                <w:rFonts w:ascii="Calibri" w:hAnsi="Calibri" w:cs="Calibri"/>
                <w:sz w:val="20"/>
                <w:szCs w:val="20"/>
                <w:lang w:val="fr-FR" w:eastAsia="fr-FR"/>
              </w:rPr>
              <w:t xml:space="preserve"> Iraq portal</w:t>
            </w:r>
          </w:p>
        </w:tc>
      </w:tr>
      <w:tr w:rsidR="00BC2FAC" w:rsidRPr="00BC2FAC" w14:paraId="0C9DE69D" w14:textId="77777777" w:rsidTr="00C52386">
        <w:tc>
          <w:tcPr>
            <w:tcW w:w="0" w:type="auto"/>
            <w:hideMark/>
          </w:tcPr>
          <w:p w14:paraId="09633B52" w14:textId="77777777" w:rsidR="00BC2FAC" w:rsidRPr="00C52386" w:rsidRDefault="00BC2FAC" w:rsidP="00BC2FAC">
            <w:pPr>
              <w:spacing w:before="120" w:after="120"/>
              <w:rPr>
                <w:rFonts w:ascii="Calibri" w:hAnsi="Calibri" w:cs="Calibri"/>
                <w:sz w:val="20"/>
                <w:szCs w:val="20"/>
                <w:lang w:eastAsia="fr-FR"/>
              </w:rPr>
            </w:pPr>
            <w:r w:rsidRPr="00C52386">
              <w:rPr>
                <w:rFonts w:ascii="Calibri" w:hAnsi="Calibri" w:cs="Calibri"/>
                <w:b/>
                <w:bCs/>
                <w:sz w:val="20"/>
                <w:szCs w:val="20"/>
                <w:lang w:eastAsia="fr-FR"/>
              </w:rPr>
              <w:t>Beneficial Ownership Register (Extractive Sector)</w:t>
            </w:r>
          </w:p>
        </w:tc>
        <w:tc>
          <w:tcPr>
            <w:tcW w:w="0" w:type="auto"/>
            <w:hideMark/>
          </w:tcPr>
          <w:p w14:paraId="3EE78057" w14:textId="77777777" w:rsidR="00BC2FAC" w:rsidRPr="00C52386" w:rsidRDefault="00BC2FAC" w:rsidP="00BC2FAC">
            <w:pPr>
              <w:spacing w:before="120" w:after="120"/>
              <w:rPr>
                <w:rFonts w:ascii="Calibri" w:hAnsi="Calibri" w:cs="Calibri"/>
                <w:sz w:val="20"/>
                <w:szCs w:val="20"/>
                <w:lang w:eastAsia="fr-FR"/>
              </w:rPr>
            </w:pPr>
            <w:r w:rsidRPr="00C52386">
              <w:rPr>
                <w:rFonts w:ascii="Calibri" w:hAnsi="Calibri" w:cs="Calibri"/>
                <w:sz w:val="20"/>
                <w:szCs w:val="20"/>
                <w:lang w:eastAsia="fr-FR"/>
              </w:rPr>
              <w:t>Publicly accessible register of BO information for extractive companies and subcontractors.</w:t>
            </w:r>
          </w:p>
        </w:tc>
        <w:tc>
          <w:tcPr>
            <w:tcW w:w="0" w:type="auto"/>
            <w:hideMark/>
          </w:tcPr>
          <w:p w14:paraId="52336DBA" w14:textId="77777777" w:rsidR="00BC2FAC" w:rsidRPr="00C52386" w:rsidRDefault="00BC2FAC" w:rsidP="00BC2FAC">
            <w:pPr>
              <w:spacing w:before="120" w:after="120"/>
              <w:rPr>
                <w:rFonts w:ascii="Calibri" w:hAnsi="Calibri" w:cs="Calibri"/>
                <w:sz w:val="20"/>
                <w:szCs w:val="20"/>
                <w:lang w:val="fr-FR" w:eastAsia="fr-FR"/>
              </w:rPr>
            </w:pPr>
            <w:r w:rsidRPr="00C52386">
              <w:rPr>
                <w:rFonts w:ascii="Calibri" w:hAnsi="Calibri" w:cs="Calibri"/>
                <w:sz w:val="20"/>
                <w:szCs w:val="20"/>
                <w:lang w:val="fr-FR" w:eastAsia="fr-FR"/>
              </w:rPr>
              <w:t>Ministry of Trade / CRD</w:t>
            </w:r>
          </w:p>
        </w:tc>
        <w:tc>
          <w:tcPr>
            <w:tcW w:w="0" w:type="auto"/>
            <w:hideMark/>
          </w:tcPr>
          <w:p w14:paraId="1A056452" w14:textId="77777777" w:rsidR="00BC2FAC" w:rsidRPr="00C52386" w:rsidRDefault="00BC2FAC" w:rsidP="00BC2FAC">
            <w:pPr>
              <w:spacing w:before="120" w:after="120"/>
              <w:rPr>
                <w:rFonts w:ascii="Calibri" w:hAnsi="Calibri" w:cs="Calibri"/>
                <w:sz w:val="20"/>
                <w:szCs w:val="20"/>
                <w:lang w:val="fr-FR" w:eastAsia="fr-FR"/>
              </w:rPr>
            </w:pPr>
            <w:r w:rsidRPr="00C52386">
              <w:rPr>
                <w:rFonts w:ascii="Calibri" w:hAnsi="Calibri" w:cs="Calibri"/>
                <w:sz w:val="20"/>
                <w:szCs w:val="20"/>
                <w:lang w:val="fr-FR" w:eastAsia="fr-FR"/>
              </w:rPr>
              <w:t xml:space="preserve">By </w:t>
            </w:r>
            <w:proofErr w:type="spellStart"/>
            <w:r w:rsidRPr="00C52386">
              <w:rPr>
                <w:rFonts w:ascii="Calibri" w:hAnsi="Calibri" w:cs="Calibri"/>
                <w:sz w:val="20"/>
                <w:szCs w:val="20"/>
                <w:lang w:val="fr-FR" w:eastAsia="fr-FR"/>
              </w:rPr>
              <w:t>company</w:t>
            </w:r>
            <w:proofErr w:type="spellEnd"/>
          </w:p>
        </w:tc>
        <w:tc>
          <w:tcPr>
            <w:tcW w:w="0" w:type="auto"/>
            <w:hideMark/>
          </w:tcPr>
          <w:p w14:paraId="5BE658E8" w14:textId="77777777" w:rsidR="00BC2FAC" w:rsidRPr="00C52386" w:rsidRDefault="00BC2FAC" w:rsidP="00BC2FAC">
            <w:pPr>
              <w:spacing w:before="120" w:after="120"/>
              <w:rPr>
                <w:rFonts w:ascii="Calibri" w:hAnsi="Calibri" w:cs="Calibri"/>
                <w:sz w:val="20"/>
                <w:szCs w:val="20"/>
                <w:lang w:val="fr-FR" w:eastAsia="fr-FR"/>
              </w:rPr>
            </w:pPr>
            <w:proofErr w:type="spellStart"/>
            <w:r w:rsidRPr="00C52386">
              <w:rPr>
                <w:rFonts w:ascii="Calibri" w:hAnsi="Calibri" w:cs="Calibri"/>
                <w:sz w:val="20"/>
                <w:szCs w:val="20"/>
                <w:lang w:val="fr-FR" w:eastAsia="fr-FR"/>
              </w:rPr>
              <w:t>Annually</w:t>
            </w:r>
            <w:proofErr w:type="spellEnd"/>
            <w:r w:rsidRPr="00C52386">
              <w:rPr>
                <w:rFonts w:ascii="Calibri" w:hAnsi="Calibri" w:cs="Calibri"/>
                <w:sz w:val="20"/>
                <w:szCs w:val="20"/>
                <w:lang w:val="fr-FR" w:eastAsia="fr-FR"/>
              </w:rPr>
              <w:t xml:space="preserve"> &amp; Updates</w:t>
            </w:r>
          </w:p>
        </w:tc>
        <w:tc>
          <w:tcPr>
            <w:tcW w:w="0" w:type="auto"/>
            <w:hideMark/>
          </w:tcPr>
          <w:p w14:paraId="2EEDA22F" w14:textId="77777777" w:rsidR="00BC2FAC" w:rsidRPr="00C52386" w:rsidRDefault="00BC2FAC" w:rsidP="00BC2FAC">
            <w:pPr>
              <w:spacing w:before="120" w:after="120"/>
              <w:rPr>
                <w:rFonts w:ascii="Calibri" w:hAnsi="Calibri" w:cs="Calibri"/>
                <w:sz w:val="20"/>
                <w:szCs w:val="20"/>
                <w:lang w:val="fr-FR" w:eastAsia="fr-FR"/>
              </w:rPr>
            </w:pPr>
            <w:r w:rsidRPr="00C52386">
              <w:rPr>
                <w:rFonts w:ascii="Calibri" w:hAnsi="Calibri" w:cs="Calibri"/>
                <w:sz w:val="20"/>
                <w:szCs w:val="20"/>
                <w:lang w:val="fr-FR" w:eastAsia="fr-FR"/>
              </w:rPr>
              <w:t>CSV, JSON</w:t>
            </w:r>
          </w:p>
        </w:tc>
        <w:tc>
          <w:tcPr>
            <w:tcW w:w="0" w:type="auto"/>
            <w:hideMark/>
          </w:tcPr>
          <w:p w14:paraId="6D73C01C" w14:textId="5125DD4B" w:rsidR="00BC2FAC" w:rsidRPr="00C52386" w:rsidRDefault="00BC2FAC" w:rsidP="00BC2FAC">
            <w:pPr>
              <w:spacing w:before="120" w:after="120"/>
              <w:rPr>
                <w:rFonts w:ascii="Calibri" w:hAnsi="Calibri" w:cs="Calibri"/>
                <w:sz w:val="20"/>
                <w:szCs w:val="20"/>
                <w:lang w:val="fr-FR" w:eastAsia="fr-FR"/>
              </w:rPr>
            </w:pPr>
            <w:r w:rsidRPr="00C52386">
              <w:rPr>
                <w:rFonts w:ascii="Calibri" w:hAnsi="Calibri" w:cs="Calibri"/>
                <w:sz w:val="20"/>
                <w:szCs w:val="20"/>
                <w:lang w:val="fr-FR" w:eastAsia="fr-FR"/>
              </w:rPr>
              <w:t xml:space="preserve">CRD (public </w:t>
            </w:r>
            <w:proofErr w:type="spellStart"/>
            <w:r w:rsidRPr="00C52386">
              <w:rPr>
                <w:rFonts w:ascii="Calibri" w:hAnsi="Calibri" w:cs="Calibri"/>
                <w:sz w:val="20"/>
                <w:szCs w:val="20"/>
                <w:lang w:val="fr-FR" w:eastAsia="fr-FR"/>
              </w:rPr>
              <w:t>access</w:t>
            </w:r>
            <w:proofErr w:type="spellEnd"/>
            <w:r w:rsidRPr="00C52386">
              <w:rPr>
                <w:rFonts w:ascii="Calibri" w:hAnsi="Calibri" w:cs="Calibri"/>
                <w:sz w:val="20"/>
                <w:szCs w:val="20"/>
                <w:lang w:val="fr-FR" w:eastAsia="fr-FR"/>
              </w:rPr>
              <w:t xml:space="preserve"> section), </w:t>
            </w:r>
            <w:r w:rsidR="00F27FE9" w:rsidRPr="00F27FE9">
              <w:rPr>
                <w:rFonts w:ascii="Calibri" w:hAnsi="Calibri" w:cs="Calibri"/>
                <w:sz w:val="20"/>
                <w:szCs w:val="20"/>
                <w:lang w:val="fr-FR" w:eastAsia="fr-FR"/>
              </w:rPr>
              <w:t>NRTC</w:t>
            </w:r>
            <w:r w:rsidRPr="00C52386">
              <w:rPr>
                <w:rFonts w:ascii="Calibri" w:hAnsi="Calibri" w:cs="Calibri"/>
                <w:sz w:val="20"/>
                <w:szCs w:val="20"/>
                <w:lang w:val="fr-FR" w:eastAsia="fr-FR"/>
              </w:rPr>
              <w:t xml:space="preserve"> Iraq portal</w:t>
            </w:r>
          </w:p>
        </w:tc>
      </w:tr>
      <w:tr w:rsidR="00BC2FAC" w:rsidRPr="00BC2FAC" w14:paraId="310875C2" w14:textId="77777777" w:rsidTr="00C52386">
        <w:tc>
          <w:tcPr>
            <w:tcW w:w="0" w:type="auto"/>
            <w:hideMark/>
          </w:tcPr>
          <w:p w14:paraId="20A4D301" w14:textId="77777777" w:rsidR="00BC2FAC" w:rsidRPr="00C52386" w:rsidRDefault="00BC2FAC" w:rsidP="00BC2FAC">
            <w:pPr>
              <w:spacing w:before="120" w:after="120"/>
              <w:rPr>
                <w:rFonts w:ascii="Calibri" w:hAnsi="Calibri" w:cs="Calibri"/>
                <w:sz w:val="20"/>
                <w:szCs w:val="20"/>
                <w:lang w:eastAsia="fr-FR"/>
              </w:rPr>
            </w:pPr>
            <w:r w:rsidRPr="00C52386">
              <w:rPr>
                <w:rFonts w:ascii="Calibri" w:hAnsi="Calibri" w:cs="Calibri"/>
                <w:b/>
                <w:bCs/>
                <w:sz w:val="20"/>
                <w:szCs w:val="20"/>
                <w:lang w:eastAsia="fr-FR"/>
              </w:rPr>
              <w:t>Government Policy on Beneficial Ownership</w:t>
            </w:r>
          </w:p>
        </w:tc>
        <w:tc>
          <w:tcPr>
            <w:tcW w:w="0" w:type="auto"/>
            <w:hideMark/>
          </w:tcPr>
          <w:p w14:paraId="6E3F8927" w14:textId="77777777" w:rsidR="00BC2FAC" w:rsidRPr="00C52386" w:rsidRDefault="00BC2FAC" w:rsidP="00BC2FAC">
            <w:pPr>
              <w:spacing w:before="120" w:after="120"/>
              <w:rPr>
                <w:rFonts w:ascii="Calibri" w:hAnsi="Calibri" w:cs="Calibri"/>
                <w:sz w:val="20"/>
                <w:szCs w:val="20"/>
                <w:lang w:eastAsia="fr-FR"/>
              </w:rPr>
            </w:pPr>
            <w:r w:rsidRPr="00C52386">
              <w:rPr>
                <w:rFonts w:ascii="Calibri" w:hAnsi="Calibri" w:cs="Calibri"/>
                <w:sz w:val="20"/>
                <w:szCs w:val="20"/>
                <w:lang w:eastAsia="fr-FR"/>
              </w:rPr>
              <w:t>Official policy on BO disclosure, including legal basis, scope of application, and verification mechanisms.</w:t>
            </w:r>
          </w:p>
        </w:tc>
        <w:tc>
          <w:tcPr>
            <w:tcW w:w="0" w:type="auto"/>
            <w:hideMark/>
          </w:tcPr>
          <w:p w14:paraId="167D9B6D" w14:textId="77777777" w:rsidR="00BC2FAC" w:rsidRPr="00C52386" w:rsidRDefault="00BC2FAC" w:rsidP="00BC2FAC">
            <w:pPr>
              <w:spacing w:before="120" w:after="120"/>
              <w:rPr>
                <w:rFonts w:ascii="Calibri" w:hAnsi="Calibri" w:cs="Calibri"/>
                <w:sz w:val="20"/>
                <w:szCs w:val="20"/>
                <w:lang w:val="fr-FR" w:eastAsia="fr-FR"/>
              </w:rPr>
            </w:pPr>
            <w:r w:rsidRPr="00C52386">
              <w:rPr>
                <w:rFonts w:ascii="Calibri" w:hAnsi="Calibri" w:cs="Calibri"/>
                <w:sz w:val="20"/>
                <w:szCs w:val="20"/>
                <w:lang w:val="fr-FR" w:eastAsia="fr-FR"/>
              </w:rPr>
              <w:t>Ministry of Trade</w:t>
            </w:r>
          </w:p>
        </w:tc>
        <w:tc>
          <w:tcPr>
            <w:tcW w:w="0" w:type="auto"/>
            <w:hideMark/>
          </w:tcPr>
          <w:p w14:paraId="6BC05A9E" w14:textId="77777777" w:rsidR="00BC2FAC" w:rsidRPr="00C52386" w:rsidRDefault="00BC2FAC" w:rsidP="00BC2FAC">
            <w:pPr>
              <w:spacing w:before="120" w:after="120"/>
              <w:rPr>
                <w:rFonts w:ascii="Calibri" w:hAnsi="Calibri" w:cs="Calibri"/>
                <w:sz w:val="20"/>
                <w:szCs w:val="20"/>
                <w:lang w:val="fr-FR" w:eastAsia="fr-FR"/>
              </w:rPr>
            </w:pPr>
            <w:r w:rsidRPr="00C52386">
              <w:rPr>
                <w:rFonts w:ascii="Calibri" w:hAnsi="Calibri" w:cs="Calibri"/>
                <w:sz w:val="20"/>
                <w:szCs w:val="20"/>
                <w:lang w:val="fr-FR" w:eastAsia="fr-FR"/>
              </w:rPr>
              <w:t xml:space="preserve">National and KRG </w:t>
            </w:r>
            <w:proofErr w:type="spellStart"/>
            <w:r w:rsidRPr="00C52386">
              <w:rPr>
                <w:rFonts w:ascii="Calibri" w:hAnsi="Calibri" w:cs="Calibri"/>
                <w:sz w:val="20"/>
                <w:szCs w:val="20"/>
                <w:lang w:val="fr-FR" w:eastAsia="fr-FR"/>
              </w:rPr>
              <w:t>levels</w:t>
            </w:r>
            <w:proofErr w:type="spellEnd"/>
          </w:p>
        </w:tc>
        <w:tc>
          <w:tcPr>
            <w:tcW w:w="0" w:type="auto"/>
            <w:hideMark/>
          </w:tcPr>
          <w:p w14:paraId="4D615E2D" w14:textId="77777777" w:rsidR="00BC2FAC" w:rsidRPr="00C52386" w:rsidRDefault="00BC2FAC" w:rsidP="00BC2FAC">
            <w:pPr>
              <w:spacing w:before="120" w:after="120"/>
              <w:rPr>
                <w:rFonts w:ascii="Calibri" w:hAnsi="Calibri" w:cs="Calibri"/>
                <w:sz w:val="20"/>
                <w:szCs w:val="20"/>
                <w:lang w:val="fr-FR" w:eastAsia="fr-FR"/>
              </w:rPr>
            </w:pPr>
            <w:proofErr w:type="spellStart"/>
            <w:r w:rsidRPr="00C52386">
              <w:rPr>
                <w:rFonts w:ascii="Calibri" w:hAnsi="Calibri" w:cs="Calibri"/>
                <w:sz w:val="20"/>
                <w:szCs w:val="20"/>
                <w:lang w:val="fr-FR" w:eastAsia="fr-FR"/>
              </w:rPr>
              <w:t>Annually</w:t>
            </w:r>
            <w:proofErr w:type="spellEnd"/>
            <w:r w:rsidRPr="00C52386">
              <w:rPr>
                <w:rFonts w:ascii="Calibri" w:hAnsi="Calibri" w:cs="Calibri"/>
                <w:sz w:val="20"/>
                <w:szCs w:val="20"/>
                <w:lang w:val="fr-FR" w:eastAsia="fr-FR"/>
              </w:rPr>
              <w:t xml:space="preserve"> &amp; Updates</w:t>
            </w:r>
          </w:p>
        </w:tc>
        <w:tc>
          <w:tcPr>
            <w:tcW w:w="0" w:type="auto"/>
            <w:hideMark/>
          </w:tcPr>
          <w:p w14:paraId="2B66CB13" w14:textId="72549E31" w:rsidR="00BC2FAC" w:rsidRPr="00C52386" w:rsidRDefault="00227C5F" w:rsidP="00227C5F">
            <w:pPr>
              <w:spacing w:before="120" w:after="120"/>
              <w:rPr>
                <w:rFonts w:ascii="Calibri" w:hAnsi="Calibri" w:cs="Calibri"/>
                <w:sz w:val="20"/>
                <w:szCs w:val="20"/>
                <w:lang w:val="fr-FR" w:eastAsia="fr-FR"/>
              </w:rPr>
            </w:pPr>
            <w:r w:rsidRPr="00227C5F">
              <w:rPr>
                <w:rFonts w:ascii="Calibri" w:hAnsi="Calibri" w:cs="Calibri"/>
                <w:b/>
                <w:bCs/>
                <w:sz w:val="20"/>
                <w:szCs w:val="20"/>
                <w:lang w:eastAsia="fr-FR"/>
              </w:rPr>
              <w:t>HTML</w:t>
            </w:r>
            <w:r w:rsidRPr="00227C5F">
              <w:rPr>
                <w:rFonts w:ascii="Calibri" w:hAnsi="Calibri" w:cs="Calibri"/>
                <w:sz w:val="20"/>
                <w:szCs w:val="20"/>
                <w:lang w:eastAsia="fr-FR"/>
              </w:rPr>
              <w:t xml:space="preserve"> (PDF optional)</w:t>
            </w:r>
          </w:p>
        </w:tc>
        <w:tc>
          <w:tcPr>
            <w:tcW w:w="0" w:type="auto"/>
            <w:hideMark/>
          </w:tcPr>
          <w:p w14:paraId="218972DE" w14:textId="40FF0EB8" w:rsidR="00BC2FAC" w:rsidRPr="00C52386" w:rsidRDefault="00BC2FAC" w:rsidP="00BC2FAC">
            <w:pPr>
              <w:spacing w:before="120" w:after="120"/>
              <w:rPr>
                <w:rFonts w:ascii="Calibri" w:hAnsi="Calibri" w:cs="Calibri"/>
                <w:sz w:val="20"/>
                <w:szCs w:val="20"/>
                <w:lang w:val="fr-FR" w:eastAsia="fr-FR"/>
              </w:rPr>
            </w:pPr>
            <w:r w:rsidRPr="00C52386">
              <w:rPr>
                <w:rFonts w:ascii="Calibri" w:hAnsi="Calibri" w:cs="Calibri"/>
                <w:sz w:val="20"/>
                <w:szCs w:val="20"/>
                <w:lang w:val="fr-FR" w:eastAsia="fr-FR"/>
              </w:rPr>
              <w:t xml:space="preserve">CRD, </w:t>
            </w:r>
            <w:r w:rsidR="00F27FE9" w:rsidRPr="00F27FE9">
              <w:rPr>
                <w:rFonts w:ascii="Calibri" w:hAnsi="Calibri" w:cs="Calibri"/>
                <w:sz w:val="20"/>
                <w:szCs w:val="20"/>
                <w:lang w:val="fr-FR" w:eastAsia="fr-FR"/>
              </w:rPr>
              <w:t>NRTC</w:t>
            </w:r>
            <w:r w:rsidRPr="00C52386">
              <w:rPr>
                <w:rFonts w:ascii="Calibri" w:hAnsi="Calibri" w:cs="Calibri"/>
                <w:sz w:val="20"/>
                <w:szCs w:val="20"/>
                <w:lang w:val="fr-FR" w:eastAsia="fr-FR"/>
              </w:rPr>
              <w:t xml:space="preserve"> Iraq portal</w:t>
            </w:r>
          </w:p>
        </w:tc>
      </w:tr>
    </w:tbl>
    <w:p w14:paraId="06C551EA" w14:textId="77777777" w:rsidR="00BF5E6B" w:rsidRDefault="00BF5E6B" w:rsidP="00C52386"/>
    <w:p w14:paraId="7F0636D2" w14:textId="77777777" w:rsidR="00BF5E6B" w:rsidRDefault="00BF5E6B">
      <w:pPr>
        <w:rPr>
          <w:rFonts w:ascii="Kohinoor Devanagari" w:eastAsiaTheme="majorEastAsia" w:hAnsi="Kohinoor Devanagari" w:cs="Kohinoor Devanagari"/>
          <w:b/>
          <w:bCs/>
          <w:i/>
          <w:iCs/>
          <w:color w:val="0F4761" w:themeColor="accent1" w:themeShade="BF"/>
          <w:sz w:val="22"/>
          <w:szCs w:val="22"/>
        </w:rPr>
      </w:pPr>
      <w:r>
        <w:rPr>
          <w:rFonts w:ascii="Kohinoor Devanagari" w:hAnsi="Kohinoor Devanagari" w:cs="Kohinoor Devanagari"/>
          <w:b/>
          <w:bCs/>
          <w:sz w:val="22"/>
          <w:szCs w:val="22"/>
        </w:rPr>
        <w:br w:type="page"/>
      </w:r>
    </w:p>
    <w:p w14:paraId="023C02BC" w14:textId="5AE42FAF" w:rsidR="00A221D8" w:rsidRPr="00A221D8" w:rsidRDefault="00A221D8" w:rsidP="00A221D8">
      <w:pPr>
        <w:pStyle w:val="Heading4"/>
        <w:spacing w:before="120" w:after="120"/>
        <w:rPr>
          <w:rFonts w:ascii="Kohinoor Devanagari" w:hAnsi="Kohinoor Devanagari" w:cs="Kohinoor Devanagari"/>
          <w:b/>
          <w:bCs/>
          <w:sz w:val="22"/>
          <w:szCs w:val="22"/>
        </w:rPr>
      </w:pPr>
      <w:r>
        <w:rPr>
          <w:rFonts w:ascii="Kohinoor Devanagari" w:hAnsi="Kohinoor Devanagari" w:cs="Kohinoor Devanagari"/>
          <w:b/>
          <w:bCs/>
          <w:sz w:val="22"/>
          <w:szCs w:val="22"/>
        </w:rPr>
        <w:t xml:space="preserve">Module 5: </w:t>
      </w:r>
      <w:r w:rsidRPr="00C52386">
        <w:rPr>
          <w:rFonts w:ascii="Kohinoor Devanagari" w:hAnsi="Kohinoor Devanagari" w:cs="Kohinoor Devanagari"/>
          <w:b/>
          <w:bCs/>
          <w:sz w:val="22"/>
          <w:szCs w:val="22"/>
        </w:rPr>
        <w:t xml:space="preserve">Module: State participation </w:t>
      </w:r>
    </w:p>
    <w:p w14:paraId="0A67A4B9" w14:textId="16479FE6" w:rsidR="006D15D9" w:rsidRPr="00A3573B" w:rsidRDefault="005F017B" w:rsidP="006D15D9">
      <w:pPr>
        <w:pStyle w:val="Heading4"/>
        <w:spacing w:before="120" w:after="120"/>
        <w:rPr>
          <w:rFonts w:ascii="Kohinoor Devanagari" w:hAnsi="Kohinoor Devanagari" w:cs="Kohinoor Devanagari"/>
          <w:b/>
          <w:bCs/>
          <w:sz w:val="22"/>
          <w:szCs w:val="22"/>
        </w:rPr>
      </w:pPr>
      <w:r>
        <w:rPr>
          <w:rFonts w:ascii="Kohinoor Devanagari" w:hAnsi="Kohinoor Devanagari" w:cs="Kohinoor Devanagari"/>
          <w:b/>
          <w:bCs/>
          <w:sz w:val="22"/>
          <w:szCs w:val="22"/>
        </w:rPr>
        <w:t>5.1.</w:t>
      </w:r>
      <w:r w:rsidRPr="00A3573B">
        <w:rPr>
          <w:rFonts w:ascii="Kohinoor Devanagari" w:hAnsi="Kohinoor Devanagari" w:cs="Kohinoor Devanagari"/>
          <w:b/>
          <w:bCs/>
          <w:sz w:val="22"/>
          <w:szCs w:val="22"/>
        </w:rPr>
        <w:t xml:space="preserve"> State</w:t>
      </w:r>
      <w:r w:rsidR="006D15D9" w:rsidRPr="00A3573B">
        <w:rPr>
          <w:rFonts w:ascii="Kohinoor Devanagari" w:hAnsi="Kohinoor Devanagari" w:cs="Kohinoor Devanagari"/>
          <w:b/>
          <w:bCs/>
          <w:sz w:val="22"/>
          <w:szCs w:val="22"/>
        </w:rPr>
        <w:t xml:space="preserve"> Participation and SOEs Transparency (Requirement 2.6)</w:t>
      </w:r>
    </w:p>
    <w:p w14:paraId="45271224" w14:textId="77777777" w:rsidR="006D15D9" w:rsidRPr="00202ED7" w:rsidRDefault="006D15D9" w:rsidP="006D15D9">
      <w:pPr>
        <w:rPr>
          <w:rFonts w:ascii="Kohinoor Devanagari" w:eastAsia="Times New Roman" w:hAnsi="Kohinoor Devanagari" w:cs="Kohinoor Devanagari"/>
          <w:b/>
          <w:bCs/>
          <w:color w:val="0D0D0D"/>
          <w:kern w:val="0"/>
          <w:sz w:val="22"/>
          <w:szCs w:val="22"/>
          <w:lang w:eastAsia="fr-FR"/>
          <w14:ligatures w14:val="none"/>
        </w:rPr>
      </w:pPr>
      <w:r w:rsidRPr="00202ED7">
        <w:rPr>
          <w:rFonts w:ascii="Kohinoor Devanagari" w:eastAsia="Times New Roman" w:hAnsi="Kohinoor Devanagari" w:cs="Kohinoor Devanagari"/>
          <w:b/>
          <w:bCs/>
          <w:color w:val="0D0D0D"/>
          <w:kern w:val="0"/>
          <w:sz w:val="22"/>
          <w:szCs w:val="22"/>
          <w:lang w:eastAsia="fr-FR"/>
          <w14:ligatures w14:val="none"/>
        </w:rPr>
        <w:t>Objective</w:t>
      </w:r>
    </w:p>
    <w:p w14:paraId="06EFCD1E" w14:textId="77777777" w:rsidR="006D15D9" w:rsidRPr="00202ED7" w:rsidRDefault="006D15D9" w:rsidP="002D3CD8">
      <w:p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202ED7">
        <w:rPr>
          <w:rFonts w:ascii="Kohinoor Devanagari" w:eastAsia="Times New Roman" w:hAnsi="Kohinoor Devanagari" w:cs="Kohinoor Devanagari"/>
          <w:color w:val="0D0D0D"/>
          <w:kern w:val="0"/>
          <w:sz w:val="22"/>
          <w:szCs w:val="22"/>
          <w:lang w:eastAsia="fr-FR"/>
          <w14:ligatures w14:val="none"/>
        </w:rPr>
        <w:t>This section ensures systematic disclosure of state participation in the extractive sector, providing transparency on:</w:t>
      </w:r>
    </w:p>
    <w:p w14:paraId="389CA9CD" w14:textId="77777777" w:rsidR="006D15D9" w:rsidRPr="00202ED7" w:rsidRDefault="006D15D9" w:rsidP="00FD2B68">
      <w:pPr>
        <w:numPr>
          <w:ilvl w:val="0"/>
          <w:numId w:val="59"/>
        </w:num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202ED7">
        <w:rPr>
          <w:rFonts w:ascii="Kohinoor Devanagari" w:eastAsia="Times New Roman" w:hAnsi="Kohinoor Devanagari" w:cs="Kohinoor Devanagari"/>
          <w:color w:val="0D0D0D"/>
          <w:kern w:val="0"/>
          <w:sz w:val="22"/>
          <w:szCs w:val="22"/>
          <w:lang w:eastAsia="fr-FR"/>
          <w14:ligatures w14:val="none"/>
        </w:rPr>
        <w:t>SOE ownership and financial relations with the state, including transfers, reinvestment, and financing.</w:t>
      </w:r>
    </w:p>
    <w:p w14:paraId="6D2AF643" w14:textId="77777777" w:rsidR="006D15D9" w:rsidRPr="00202ED7" w:rsidRDefault="006D15D9" w:rsidP="00FD2B68">
      <w:pPr>
        <w:numPr>
          <w:ilvl w:val="0"/>
          <w:numId w:val="59"/>
        </w:num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202ED7">
        <w:rPr>
          <w:rFonts w:ascii="Kohinoor Devanagari" w:eastAsia="Times New Roman" w:hAnsi="Kohinoor Devanagari" w:cs="Kohinoor Devanagari"/>
          <w:color w:val="0D0D0D"/>
          <w:kern w:val="0"/>
          <w:sz w:val="22"/>
          <w:szCs w:val="22"/>
          <w:lang w:eastAsia="fr-FR"/>
          <w14:ligatures w14:val="none"/>
        </w:rPr>
        <w:t>State ownership in extractive companies and project participation terms.</w:t>
      </w:r>
    </w:p>
    <w:p w14:paraId="24364B8C" w14:textId="77777777" w:rsidR="006D15D9" w:rsidRPr="00202ED7" w:rsidRDefault="006D15D9" w:rsidP="00FD2B68">
      <w:pPr>
        <w:numPr>
          <w:ilvl w:val="0"/>
          <w:numId w:val="59"/>
        </w:num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202ED7">
        <w:rPr>
          <w:rFonts w:ascii="Kohinoor Devanagari" w:eastAsia="Times New Roman" w:hAnsi="Kohinoor Devanagari" w:cs="Kohinoor Devanagari"/>
          <w:color w:val="0D0D0D"/>
          <w:kern w:val="0"/>
          <w:sz w:val="22"/>
          <w:szCs w:val="22"/>
          <w:lang w:eastAsia="fr-FR"/>
          <w14:ligatures w14:val="none"/>
        </w:rPr>
        <w:t>Publication of SOE financial statements and governance structures.</w:t>
      </w:r>
    </w:p>
    <w:p w14:paraId="51FD0037" w14:textId="77777777" w:rsidR="006D15D9" w:rsidRPr="00202ED7" w:rsidRDefault="006D15D9" w:rsidP="00FD2B68">
      <w:pPr>
        <w:numPr>
          <w:ilvl w:val="0"/>
          <w:numId w:val="59"/>
        </w:num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202ED7">
        <w:rPr>
          <w:rFonts w:ascii="Kohinoor Devanagari" w:eastAsia="Times New Roman" w:hAnsi="Kohinoor Devanagari" w:cs="Kohinoor Devanagari"/>
          <w:color w:val="0D0D0D"/>
          <w:kern w:val="0"/>
          <w:sz w:val="22"/>
          <w:szCs w:val="22"/>
          <w:lang w:eastAsia="fr-FR"/>
          <w14:ligatures w14:val="none"/>
        </w:rPr>
        <w:t>Loans and guarantees provided to extractive companies.</w:t>
      </w:r>
    </w:p>
    <w:p w14:paraId="4756FCE0" w14:textId="3AFB8F42" w:rsidR="008B0650" w:rsidRPr="002764C0" w:rsidRDefault="006D15D9" w:rsidP="002764C0">
      <w:pPr>
        <w:rPr>
          <w:rFonts w:ascii="Kohinoor Devanagari" w:eastAsia="Times New Roman" w:hAnsi="Kohinoor Devanagari" w:cs="Kohinoor Devanagari"/>
          <w:b/>
          <w:bCs/>
          <w:color w:val="0D0D0D"/>
          <w:kern w:val="0"/>
          <w:sz w:val="22"/>
          <w:szCs w:val="22"/>
          <w:lang w:eastAsia="fr-FR"/>
          <w14:ligatures w14:val="none"/>
        </w:rPr>
      </w:pPr>
      <w:r w:rsidRPr="009F50A1">
        <w:rPr>
          <w:rFonts w:ascii="Kohinoor Devanagari" w:eastAsia="Times New Roman" w:hAnsi="Kohinoor Devanagari" w:cs="Kohinoor Devanagari"/>
          <w:b/>
          <w:bCs/>
          <w:color w:val="0D0D0D"/>
          <w:kern w:val="0"/>
          <w:sz w:val="22"/>
          <w:szCs w:val="22"/>
          <w:lang w:eastAsia="fr-FR"/>
          <w14:ligatures w14:val="none"/>
        </w:rPr>
        <w:t>Data Disclosure Requirements</w:t>
      </w:r>
    </w:p>
    <w:tbl>
      <w:tblPr>
        <w:tblStyle w:val="TableGrid"/>
        <w:tblW w:w="0" w:type="auto"/>
        <w:tblBorders>
          <w:top w:val="single" w:sz="4" w:space="0" w:color="89AA5F"/>
          <w:left w:val="single" w:sz="4" w:space="0" w:color="89AA5F"/>
          <w:bottom w:val="single" w:sz="4" w:space="0" w:color="89AA5F"/>
          <w:right w:val="single" w:sz="4" w:space="0" w:color="89AA5F"/>
          <w:insideH w:val="single" w:sz="4" w:space="0" w:color="89AA5F"/>
          <w:insideV w:val="single" w:sz="4" w:space="0" w:color="89AA5F"/>
        </w:tblBorders>
        <w:tblLook w:val="04A0" w:firstRow="1" w:lastRow="0" w:firstColumn="1" w:lastColumn="0" w:noHBand="0" w:noVBand="1"/>
      </w:tblPr>
      <w:tblGrid>
        <w:gridCol w:w="1374"/>
        <w:gridCol w:w="1816"/>
        <w:gridCol w:w="1294"/>
        <w:gridCol w:w="1486"/>
        <w:gridCol w:w="1115"/>
        <w:gridCol w:w="1010"/>
        <w:gridCol w:w="1243"/>
      </w:tblGrid>
      <w:tr w:rsidR="00A31CD8" w:rsidRPr="00A31CD8" w14:paraId="54DAB351" w14:textId="77777777" w:rsidTr="00A31CD8">
        <w:trPr>
          <w:tblHeader/>
        </w:trPr>
        <w:tc>
          <w:tcPr>
            <w:tcW w:w="0" w:type="auto"/>
            <w:shd w:val="clear" w:color="auto" w:fill="748A96"/>
            <w:hideMark/>
          </w:tcPr>
          <w:p w14:paraId="71455CA4" w14:textId="77777777" w:rsidR="0029062F" w:rsidRPr="00C52386" w:rsidRDefault="0029062F" w:rsidP="0029062F">
            <w:pPr>
              <w:spacing w:after="160" w:line="278" w:lineRule="auto"/>
              <w:rPr>
                <w:rFonts w:ascii="Calibri" w:eastAsia="Times New Roman" w:hAnsi="Calibri" w:cs="Calibri"/>
                <w:b/>
                <w:bCs/>
                <w:color w:val="FFFFFF" w:themeColor="background1"/>
                <w:kern w:val="0"/>
                <w:sz w:val="20"/>
                <w:szCs w:val="20"/>
                <w:lang w:val="fr-FR" w:eastAsia="fr-FR"/>
                <w14:ligatures w14:val="none"/>
              </w:rPr>
            </w:pPr>
            <w:r w:rsidRPr="00C52386">
              <w:rPr>
                <w:rFonts w:ascii="Calibri" w:eastAsia="Times New Roman" w:hAnsi="Calibri" w:cs="Calibri"/>
                <w:b/>
                <w:bCs/>
                <w:color w:val="FFFFFF" w:themeColor="background1"/>
                <w:kern w:val="0"/>
                <w:sz w:val="20"/>
                <w:szCs w:val="20"/>
                <w:lang w:val="fr-FR" w:eastAsia="fr-FR"/>
                <w14:ligatures w14:val="none"/>
              </w:rPr>
              <w:t>Data Type</w:t>
            </w:r>
          </w:p>
        </w:tc>
        <w:tc>
          <w:tcPr>
            <w:tcW w:w="0" w:type="auto"/>
            <w:shd w:val="clear" w:color="auto" w:fill="748A96"/>
            <w:hideMark/>
          </w:tcPr>
          <w:p w14:paraId="0CFFECAE" w14:textId="77777777" w:rsidR="0029062F" w:rsidRPr="00C52386" w:rsidRDefault="0029062F" w:rsidP="0029062F">
            <w:pPr>
              <w:spacing w:after="160" w:line="278" w:lineRule="auto"/>
              <w:rPr>
                <w:rFonts w:ascii="Calibri" w:eastAsia="Times New Roman" w:hAnsi="Calibri" w:cs="Calibri"/>
                <w:b/>
                <w:bCs/>
                <w:color w:val="FFFFFF" w:themeColor="background1"/>
                <w:kern w:val="0"/>
                <w:sz w:val="20"/>
                <w:szCs w:val="20"/>
                <w:lang w:val="fr-FR" w:eastAsia="fr-FR"/>
                <w14:ligatures w14:val="none"/>
              </w:rPr>
            </w:pPr>
            <w:r w:rsidRPr="00C52386">
              <w:rPr>
                <w:rFonts w:ascii="Calibri" w:eastAsia="Times New Roman" w:hAnsi="Calibri" w:cs="Calibri"/>
                <w:b/>
                <w:bCs/>
                <w:color w:val="FFFFFF" w:themeColor="background1"/>
                <w:kern w:val="0"/>
                <w:sz w:val="20"/>
                <w:szCs w:val="20"/>
                <w:lang w:val="fr-FR" w:eastAsia="fr-FR"/>
                <w14:ligatures w14:val="none"/>
              </w:rPr>
              <w:t>Description</w:t>
            </w:r>
          </w:p>
        </w:tc>
        <w:tc>
          <w:tcPr>
            <w:tcW w:w="0" w:type="auto"/>
            <w:shd w:val="clear" w:color="auto" w:fill="748A96"/>
            <w:hideMark/>
          </w:tcPr>
          <w:p w14:paraId="51277CB1" w14:textId="77777777" w:rsidR="0029062F" w:rsidRPr="00C52386" w:rsidRDefault="0029062F" w:rsidP="0029062F">
            <w:pPr>
              <w:spacing w:after="160" w:line="278" w:lineRule="auto"/>
              <w:rPr>
                <w:rFonts w:ascii="Calibri" w:eastAsia="Times New Roman" w:hAnsi="Calibri" w:cs="Calibri"/>
                <w:b/>
                <w:bCs/>
                <w:color w:val="FFFFFF" w:themeColor="background1"/>
                <w:kern w:val="0"/>
                <w:sz w:val="20"/>
                <w:szCs w:val="20"/>
                <w:lang w:val="fr-FR" w:eastAsia="fr-FR"/>
                <w14:ligatures w14:val="none"/>
              </w:rPr>
            </w:pPr>
            <w:proofErr w:type="spellStart"/>
            <w:r w:rsidRPr="00C52386">
              <w:rPr>
                <w:rFonts w:ascii="Calibri" w:eastAsia="Times New Roman" w:hAnsi="Calibri" w:cs="Calibri"/>
                <w:b/>
                <w:bCs/>
                <w:color w:val="FFFFFF" w:themeColor="background1"/>
                <w:kern w:val="0"/>
                <w:sz w:val="20"/>
                <w:szCs w:val="20"/>
                <w:lang w:val="fr-FR" w:eastAsia="fr-FR"/>
                <w14:ligatures w14:val="none"/>
              </w:rPr>
              <w:t>Responsible</w:t>
            </w:r>
            <w:proofErr w:type="spellEnd"/>
            <w:r w:rsidRPr="00C52386">
              <w:rPr>
                <w:rFonts w:ascii="Calibri" w:eastAsia="Times New Roman" w:hAnsi="Calibri" w:cs="Calibri"/>
                <w:b/>
                <w:bCs/>
                <w:color w:val="FFFFFF" w:themeColor="background1"/>
                <w:kern w:val="0"/>
                <w:sz w:val="20"/>
                <w:szCs w:val="20"/>
                <w:lang w:val="fr-FR" w:eastAsia="fr-FR"/>
                <w14:ligatures w14:val="none"/>
              </w:rPr>
              <w:t xml:space="preserve"> </w:t>
            </w:r>
            <w:proofErr w:type="spellStart"/>
            <w:r w:rsidRPr="00C52386">
              <w:rPr>
                <w:rFonts w:ascii="Calibri" w:eastAsia="Times New Roman" w:hAnsi="Calibri" w:cs="Calibri"/>
                <w:b/>
                <w:bCs/>
                <w:color w:val="FFFFFF" w:themeColor="background1"/>
                <w:kern w:val="0"/>
                <w:sz w:val="20"/>
                <w:szCs w:val="20"/>
                <w:lang w:val="fr-FR" w:eastAsia="fr-FR"/>
                <w14:ligatures w14:val="none"/>
              </w:rPr>
              <w:t>Entities</w:t>
            </w:r>
            <w:proofErr w:type="spellEnd"/>
          </w:p>
        </w:tc>
        <w:tc>
          <w:tcPr>
            <w:tcW w:w="0" w:type="auto"/>
            <w:shd w:val="clear" w:color="auto" w:fill="748A96"/>
            <w:hideMark/>
          </w:tcPr>
          <w:p w14:paraId="72E775F4" w14:textId="77777777" w:rsidR="0029062F" w:rsidRPr="00C52386" w:rsidRDefault="0029062F" w:rsidP="0029062F">
            <w:pPr>
              <w:spacing w:after="160" w:line="278" w:lineRule="auto"/>
              <w:rPr>
                <w:rFonts w:ascii="Calibri" w:eastAsia="Times New Roman" w:hAnsi="Calibri" w:cs="Calibri"/>
                <w:b/>
                <w:bCs/>
                <w:color w:val="FFFFFF" w:themeColor="background1"/>
                <w:kern w:val="0"/>
                <w:sz w:val="20"/>
                <w:szCs w:val="20"/>
                <w:lang w:val="fr-FR" w:eastAsia="fr-FR"/>
                <w14:ligatures w14:val="none"/>
              </w:rPr>
            </w:pPr>
            <w:proofErr w:type="spellStart"/>
            <w:r w:rsidRPr="00C52386">
              <w:rPr>
                <w:rFonts w:ascii="Calibri" w:eastAsia="Times New Roman" w:hAnsi="Calibri" w:cs="Calibri"/>
                <w:b/>
                <w:bCs/>
                <w:color w:val="FFFFFF" w:themeColor="background1"/>
                <w:kern w:val="0"/>
                <w:sz w:val="20"/>
                <w:szCs w:val="20"/>
                <w:lang w:val="fr-FR" w:eastAsia="fr-FR"/>
                <w14:ligatures w14:val="none"/>
              </w:rPr>
              <w:t>Disaggregation</w:t>
            </w:r>
            <w:proofErr w:type="spellEnd"/>
          </w:p>
        </w:tc>
        <w:tc>
          <w:tcPr>
            <w:tcW w:w="0" w:type="auto"/>
            <w:shd w:val="clear" w:color="auto" w:fill="748A96"/>
            <w:hideMark/>
          </w:tcPr>
          <w:p w14:paraId="34A501CF" w14:textId="77777777" w:rsidR="0029062F" w:rsidRPr="00C52386" w:rsidRDefault="0029062F" w:rsidP="0029062F">
            <w:pPr>
              <w:spacing w:after="160" w:line="278" w:lineRule="auto"/>
              <w:rPr>
                <w:rFonts w:ascii="Calibri" w:eastAsia="Times New Roman" w:hAnsi="Calibri" w:cs="Calibri"/>
                <w:b/>
                <w:bCs/>
                <w:color w:val="FFFFFF" w:themeColor="background1"/>
                <w:kern w:val="0"/>
                <w:sz w:val="20"/>
                <w:szCs w:val="20"/>
                <w:lang w:val="fr-FR" w:eastAsia="fr-FR"/>
                <w14:ligatures w14:val="none"/>
              </w:rPr>
            </w:pPr>
            <w:r w:rsidRPr="00C52386">
              <w:rPr>
                <w:rFonts w:ascii="Calibri" w:eastAsia="Times New Roman" w:hAnsi="Calibri" w:cs="Calibri"/>
                <w:b/>
                <w:bCs/>
                <w:color w:val="FFFFFF" w:themeColor="background1"/>
                <w:kern w:val="0"/>
                <w:sz w:val="20"/>
                <w:szCs w:val="20"/>
                <w:lang w:val="fr-FR" w:eastAsia="fr-FR"/>
                <w14:ligatures w14:val="none"/>
              </w:rPr>
              <w:t>Frequency</w:t>
            </w:r>
          </w:p>
        </w:tc>
        <w:tc>
          <w:tcPr>
            <w:tcW w:w="0" w:type="auto"/>
            <w:shd w:val="clear" w:color="auto" w:fill="748A96"/>
            <w:hideMark/>
          </w:tcPr>
          <w:p w14:paraId="394338E4" w14:textId="77777777" w:rsidR="0029062F" w:rsidRPr="00C52386" w:rsidRDefault="0029062F" w:rsidP="0029062F">
            <w:pPr>
              <w:spacing w:after="160" w:line="278" w:lineRule="auto"/>
              <w:rPr>
                <w:rFonts w:ascii="Calibri" w:eastAsia="Times New Roman" w:hAnsi="Calibri" w:cs="Calibri"/>
                <w:b/>
                <w:bCs/>
                <w:color w:val="FFFFFF" w:themeColor="background1"/>
                <w:kern w:val="0"/>
                <w:sz w:val="20"/>
                <w:szCs w:val="20"/>
                <w:lang w:val="fr-FR" w:eastAsia="fr-FR"/>
                <w14:ligatures w14:val="none"/>
              </w:rPr>
            </w:pPr>
            <w:r w:rsidRPr="00C52386">
              <w:rPr>
                <w:rFonts w:ascii="Calibri" w:eastAsia="Times New Roman" w:hAnsi="Calibri" w:cs="Calibri"/>
                <w:b/>
                <w:bCs/>
                <w:color w:val="FFFFFF" w:themeColor="background1"/>
                <w:kern w:val="0"/>
                <w:sz w:val="20"/>
                <w:szCs w:val="20"/>
                <w:lang w:val="fr-FR" w:eastAsia="fr-FR"/>
                <w14:ligatures w14:val="none"/>
              </w:rPr>
              <w:t>Format</w:t>
            </w:r>
          </w:p>
        </w:tc>
        <w:tc>
          <w:tcPr>
            <w:tcW w:w="0" w:type="auto"/>
            <w:shd w:val="clear" w:color="auto" w:fill="748A96"/>
            <w:hideMark/>
          </w:tcPr>
          <w:p w14:paraId="62EA62BC" w14:textId="77777777" w:rsidR="0029062F" w:rsidRPr="00C52386" w:rsidRDefault="0029062F" w:rsidP="0029062F">
            <w:pPr>
              <w:spacing w:after="160" w:line="278" w:lineRule="auto"/>
              <w:rPr>
                <w:rFonts w:ascii="Calibri" w:eastAsia="Times New Roman" w:hAnsi="Calibri" w:cs="Calibri"/>
                <w:b/>
                <w:bCs/>
                <w:color w:val="FFFFFF" w:themeColor="background1"/>
                <w:kern w:val="0"/>
                <w:sz w:val="20"/>
                <w:szCs w:val="20"/>
                <w:lang w:val="fr-FR" w:eastAsia="fr-FR"/>
                <w14:ligatures w14:val="none"/>
              </w:rPr>
            </w:pPr>
            <w:r w:rsidRPr="00C52386">
              <w:rPr>
                <w:rFonts w:ascii="Calibri" w:eastAsia="Times New Roman" w:hAnsi="Calibri" w:cs="Calibri"/>
                <w:b/>
                <w:bCs/>
                <w:color w:val="FFFFFF" w:themeColor="background1"/>
                <w:kern w:val="0"/>
                <w:sz w:val="20"/>
                <w:szCs w:val="20"/>
                <w:lang w:val="fr-FR" w:eastAsia="fr-FR"/>
                <w14:ligatures w14:val="none"/>
              </w:rPr>
              <w:t>Publication Channels</w:t>
            </w:r>
          </w:p>
        </w:tc>
      </w:tr>
      <w:tr w:rsidR="008A66B2" w:rsidRPr="008A66B2" w14:paraId="08B7CEAF" w14:textId="77777777" w:rsidTr="00C52386">
        <w:tc>
          <w:tcPr>
            <w:tcW w:w="0" w:type="auto"/>
            <w:hideMark/>
          </w:tcPr>
          <w:p w14:paraId="651E0F47" w14:textId="77777777" w:rsidR="0029062F" w:rsidRPr="00C52386" w:rsidRDefault="0029062F" w:rsidP="0029062F">
            <w:pPr>
              <w:spacing w:after="160" w:line="278" w:lineRule="auto"/>
              <w:rPr>
                <w:rFonts w:ascii="Calibri" w:eastAsia="Times New Roman" w:hAnsi="Calibri" w:cs="Calibri"/>
                <w:color w:val="0D0D0D"/>
                <w:kern w:val="0"/>
                <w:sz w:val="20"/>
                <w:szCs w:val="20"/>
                <w:lang w:eastAsia="fr-FR"/>
                <w14:ligatures w14:val="none"/>
              </w:rPr>
            </w:pPr>
            <w:r w:rsidRPr="00C52386">
              <w:rPr>
                <w:rFonts w:ascii="Calibri" w:eastAsia="Times New Roman" w:hAnsi="Calibri" w:cs="Calibri"/>
                <w:b/>
                <w:bCs/>
                <w:color w:val="0D0D0D"/>
                <w:kern w:val="0"/>
                <w:sz w:val="20"/>
                <w:szCs w:val="20"/>
                <w:lang w:eastAsia="fr-FR"/>
                <w14:ligatures w14:val="none"/>
              </w:rPr>
              <w:t>State Ownership in Extractive Companies</w:t>
            </w:r>
          </w:p>
        </w:tc>
        <w:tc>
          <w:tcPr>
            <w:tcW w:w="0" w:type="auto"/>
            <w:hideMark/>
          </w:tcPr>
          <w:p w14:paraId="4D3D035D" w14:textId="77777777" w:rsidR="0029062F" w:rsidRPr="00C52386" w:rsidRDefault="0029062F" w:rsidP="0029062F">
            <w:pPr>
              <w:spacing w:after="160" w:line="278" w:lineRule="auto"/>
              <w:rPr>
                <w:rFonts w:ascii="Calibri" w:eastAsia="Times New Roman" w:hAnsi="Calibri" w:cs="Calibri"/>
                <w:color w:val="0D0D0D"/>
                <w:kern w:val="0"/>
                <w:sz w:val="20"/>
                <w:szCs w:val="20"/>
                <w:lang w:eastAsia="fr-FR"/>
                <w14:ligatures w14:val="none"/>
              </w:rPr>
            </w:pPr>
            <w:r w:rsidRPr="00C52386">
              <w:rPr>
                <w:rFonts w:ascii="Calibri" w:eastAsia="Times New Roman" w:hAnsi="Calibri" w:cs="Calibri"/>
                <w:color w:val="0D0D0D"/>
                <w:kern w:val="0"/>
                <w:sz w:val="20"/>
                <w:szCs w:val="20"/>
                <w:lang w:eastAsia="fr-FR"/>
                <w14:ligatures w14:val="none"/>
              </w:rPr>
              <w:t>Disclosure of state ownership levels in oil, gas, and mining companies, including subsidiaries and joint ventures, and participation terms.</w:t>
            </w:r>
          </w:p>
        </w:tc>
        <w:tc>
          <w:tcPr>
            <w:tcW w:w="0" w:type="auto"/>
            <w:hideMark/>
          </w:tcPr>
          <w:p w14:paraId="38B6E831" w14:textId="77777777" w:rsidR="0029062F" w:rsidRPr="00C52386" w:rsidRDefault="0029062F" w:rsidP="0029062F">
            <w:pPr>
              <w:spacing w:after="160" w:line="278" w:lineRule="auto"/>
              <w:rPr>
                <w:rFonts w:ascii="Calibri" w:eastAsia="Times New Roman" w:hAnsi="Calibri" w:cs="Calibri"/>
                <w:color w:val="0D0D0D"/>
                <w:kern w:val="0"/>
                <w:sz w:val="20"/>
                <w:szCs w:val="20"/>
                <w:lang w:eastAsia="fr-FR"/>
                <w14:ligatures w14:val="none"/>
              </w:rPr>
            </w:pPr>
            <w:r w:rsidRPr="00C52386">
              <w:rPr>
                <w:rFonts w:ascii="Calibri" w:eastAsia="Times New Roman" w:hAnsi="Calibri" w:cs="Calibri"/>
                <w:color w:val="0D0D0D"/>
                <w:kern w:val="0"/>
                <w:sz w:val="20"/>
                <w:szCs w:val="20"/>
                <w:lang w:eastAsia="fr-FR"/>
                <w14:ligatures w14:val="none"/>
              </w:rPr>
              <w:t>Ministry of Oil, Ministry of Finance, SOEs</w:t>
            </w:r>
          </w:p>
        </w:tc>
        <w:tc>
          <w:tcPr>
            <w:tcW w:w="0" w:type="auto"/>
            <w:hideMark/>
          </w:tcPr>
          <w:p w14:paraId="5BF67EBC"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r w:rsidRPr="00C52386">
              <w:rPr>
                <w:rFonts w:ascii="Calibri" w:eastAsia="Times New Roman" w:hAnsi="Calibri" w:cs="Calibri"/>
                <w:color w:val="0D0D0D"/>
                <w:kern w:val="0"/>
                <w:sz w:val="20"/>
                <w:szCs w:val="20"/>
                <w:lang w:val="fr-FR" w:eastAsia="fr-FR"/>
                <w14:ligatures w14:val="none"/>
              </w:rPr>
              <w:t xml:space="preserve">By SOE, </w:t>
            </w:r>
            <w:proofErr w:type="spellStart"/>
            <w:r w:rsidRPr="00C52386">
              <w:rPr>
                <w:rFonts w:ascii="Calibri" w:eastAsia="Times New Roman" w:hAnsi="Calibri" w:cs="Calibri"/>
                <w:color w:val="0D0D0D"/>
                <w:kern w:val="0"/>
                <w:sz w:val="20"/>
                <w:szCs w:val="20"/>
                <w:lang w:val="fr-FR" w:eastAsia="fr-FR"/>
                <w14:ligatures w14:val="none"/>
              </w:rPr>
              <w:t>company</w:t>
            </w:r>
            <w:proofErr w:type="spellEnd"/>
            <w:r w:rsidRPr="00C52386">
              <w:rPr>
                <w:rFonts w:ascii="Calibri" w:eastAsia="Times New Roman" w:hAnsi="Calibri" w:cs="Calibri"/>
                <w:color w:val="0D0D0D"/>
                <w:kern w:val="0"/>
                <w:sz w:val="20"/>
                <w:szCs w:val="20"/>
                <w:lang w:val="fr-FR" w:eastAsia="fr-FR"/>
                <w14:ligatures w14:val="none"/>
              </w:rPr>
              <w:t>, project</w:t>
            </w:r>
          </w:p>
        </w:tc>
        <w:tc>
          <w:tcPr>
            <w:tcW w:w="0" w:type="auto"/>
            <w:hideMark/>
          </w:tcPr>
          <w:p w14:paraId="1A68D175"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proofErr w:type="spellStart"/>
            <w:r w:rsidRPr="00C52386">
              <w:rPr>
                <w:rFonts w:ascii="Calibri" w:eastAsia="Times New Roman" w:hAnsi="Calibri" w:cs="Calibri"/>
                <w:color w:val="0D0D0D"/>
                <w:kern w:val="0"/>
                <w:sz w:val="20"/>
                <w:szCs w:val="20"/>
                <w:lang w:val="fr-FR" w:eastAsia="fr-FR"/>
                <w14:ligatures w14:val="none"/>
              </w:rPr>
              <w:t>Annually</w:t>
            </w:r>
            <w:proofErr w:type="spellEnd"/>
            <w:r w:rsidRPr="00C52386">
              <w:rPr>
                <w:rFonts w:ascii="Calibri" w:eastAsia="Times New Roman" w:hAnsi="Calibri" w:cs="Calibri"/>
                <w:color w:val="0D0D0D"/>
                <w:kern w:val="0"/>
                <w:sz w:val="20"/>
                <w:szCs w:val="20"/>
                <w:lang w:val="fr-FR" w:eastAsia="fr-FR"/>
                <w14:ligatures w14:val="none"/>
              </w:rPr>
              <w:t xml:space="preserve"> &amp; Updates</w:t>
            </w:r>
          </w:p>
        </w:tc>
        <w:tc>
          <w:tcPr>
            <w:tcW w:w="0" w:type="auto"/>
            <w:hideMark/>
          </w:tcPr>
          <w:p w14:paraId="42384334"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r w:rsidRPr="00C52386">
              <w:rPr>
                <w:rFonts w:ascii="Calibri" w:eastAsia="Times New Roman" w:hAnsi="Calibri" w:cs="Calibri"/>
                <w:color w:val="0D0D0D"/>
                <w:kern w:val="0"/>
                <w:sz w:val="20"/>
                <w:szCs w:val="20"/>
                <w:lang w:val="fr-FR" w:eastAsia="fr-FR"/>
                <w14:ligatures w14:val="none"/>
              </w:rPr>
              <w:t xml:space="preserve">CSV, HTML (PDF </w:t>
            </w:r>
            <w:proofErr w:type="spellStart"/>
            <w:r w:rsidRPr="00C52386">
              <w:rPr>
                <w:rFonts w:ascii="Calibri" w:eastAsia="Times New Roman" w:hAnsi="Calibri" w:cs="Calibri"/>
                <w:color w:val="0D0D0D"/>
                <w:kern w:val="0"/>
                <w:sz w:val="20"/>
                <w:szCs w:val="20"/>
                <w:lang w:val="fr-FR" w:eastAsia="fr-FR"/>
                <w14:ligatures w14:val="none"/>
              </w:rPr>
              <w:t>optional</w:t>
            </w:r>
            <w:proofErr w:type="spellEnd"/>
            <w:r w:rsidRPr="00C52386">
              <w:rPr>
                <w:rFonts w:ascii="Calibri" w:eastAsia="Times New Roman" w:hAnsi="Calibri" w:cs="Calibri"/>
                <w:color w:val="0D0D0D"/>
                <w:kern w:val="0"/>
                <w:sz w:val="20"/>
                <w:szCs w:val="20"/>
                <w:lang w:val="fr-FR" w:eastAsia="fr-FR"/>
                <w14:ligatures w14:val="none"/>
              </w:rPr>
              <w:t>)</w:t>
            </w:r>
          </w:p>
        </w:tc>
        <w:tc>
          <w:tcPr>
            <w:tcW w:w="0" w:type="auto"/>
            <w:hideMark/>
          </w:tcPr>
          <w:p w14:paraId="03770998" w14:textId="0E6485FB" w:rsidR="0029062F" w:rsidRPr="00C52386" w:rsidRDefault="00F27FE9" w:rsidP="0029062F">
            <w:pPr>
              <w:spacing w:after="160" w:line="278" w:lineRule="auto"/>
              <w:rPr>
                <w:rFonts w:ascii="Calibri" w:eastAsia="Times New Roman" w:hAnsi="Calibri" w:cs="Calibri"/>
                <w:color w:val="0D0D0D"/>
                <w:kern w:val="0"/>
                <w:sz w:val="20"/>
                <w:szCs w:val="20"/>
                <w:lang w:eastAsia="fr-FR"/>
                <w14:ligatures w14:val="none"/>
              </w:rPr>
            </w:pPr>
            <w:r w:rsidRPr="00F27FE9">
              <w:rPr>
                <w:rFonts w:ascii="Calibri" w:eastAsia="Times New Roman" w:hAnsi="Calibri" w:cs="Calibri"/>
                <w:color w:val="0D0D0D"/>
                <w:kern w:val="0"/>
                <w:sz w:val="20"/>
                <w:szCs w:val="20"/>
                <w:lang w:eastAsia="fr-FR"/>
                <w14:ligatures w14:val="none"/>
              </w:rPr>
              <w:t>NRTC</w:t>
            </w:r>
            <w:r w:rsidR="0029062F" w:rsidRPr="00C52386">
              <w:rPr>
                <w:rFonts w:ascii="Calibri" w:eastAsia="Times New Roman" w:hAnsi="Calibri" w:cs="Calibri"/>
                <w:color w:val="0D0D0D"/>
                <w:kern w:val="0"/>
                <w:sz w:val="20"/>
                <w:szCs w:val="20"/>
                <w:lang w:eastAsia="fr-FR"/>
                <w14:ligatures w14:val="none"/>
              </w:rPr>
              <w:t xml:space="preserve"> Iraq portal, </w:t>
            </w:r>
            <w:proofErr w:type="spellStart"/>
            <w:r w:rsidR="0029062F" w:rsidRPr="00C52386">
              <w:rPr>
                <w:rFonts w:ascii="Calibri" w:eastAsia="Times New Roman" w:hAnsi="Calibri" w:cs="Calibri"/>
                <w:color w:val="0D0D0D"/>
                <w:kern w:val="0"/>
                <w:sz w:val="20"/>
                <w:szCs w:val="20"/>
                <w:lang w:eastAsia="fr-FR"/>
                <w14:ligatures w14:val="none"/>
              </w:rPr>
              <w:t>MoO</w:t>
            </w:r>
            <w:proofErr w:type="spellEnd"/>
            <w:r w:rsidR="0029062F" w:rsidRPr="00C52386">
              <w:rPr>
                <w:rFonts w:ascii="Calibri" w:eastAsia="Times New Roman" w:hAnsi="Calibri" w:cs="Calibri"/>
                <w:color w:val="0D0D0D"/>
                <w:kern w:val="0"/>
                <w:sz w:val="20"/>
                <w:szCs w:val="20"/>
                <w:lang w:eastAsia="fr-FR"/>
                <w14:ligatures w14:val="none"/>
              </w:rPr>
              <w:t xml:space="preserve"> and SOE websites</w:t>
            </w:r>
          </w:p>
        </w:tc>
      </w:tr>
      <w:tr w:rsidR="008A66B2" w:rsidRPr="008A66B2" w14:paraId="32201AE1" w14:textId="77777777" w:rsidTr="00C52386">
        <w:tc>
          <w:tcPr>
            <w:tcW w:w="0" w:type="auto"/>
            <w:hideMark/>
          </w:tcPr>
          <w:p w14:paraId="0E80C779" w14:textId="77777777" w:rsidR="0029062F" w:rsidRPr="00C52386" w:rsidRDefault="0029062F" w:rsidP="0029062F">
            <w:pPr>
              <w:spacing w:after="160" w:line="278" w:lineRule="auto"/>
              <w:rPr>
                <w:rFonts w:ascii="Calibri" w:eastAsia="Times New Roman" w:hAnsi="Calibri" w:cs="Calibri"/>
                <w:color w:val="0D0D0D"/>
                <w:kern w:val="0"/>
                <w:sz w:val="20"/>
                <w:szCs w:val="20"/>
                <w:lang w:eastAsia="fr-FR"/>
                <w14:ligatures w14:val="none"/>
              </w:rPr>
            </w:pPr>
            <w:r w:rsidRPr="00C52386">
              <w:rPr>
                <w:rFonts w:ascii="Calibri" w:eastAsia="Times New Roman" w:hAnsi="Calibri" w:cs="Calibri"/>
                <w:b/>
                <w:bCs/>
                <w:color w:val="0D0D0D"/>
                <w:kern w:val="0"/>
                <w:sz w:val="20"/>
                <w:szCs w:val="20"/>
                <w:lang w:eastAsia="fr-FR"/>
                <w14:ligatures w14:val="none"/>
              </w:rPr>
              <w:t>State and SOE Ownership in Contracts</w:t>
            </w:r>
          </w:p>
        </w:tc>
        <w:tc>
          <w:tcPr>
            <w:tcW w:w="0" w:type="auto"/>
            <w:hideMark/>
          </w:tcPr>
          <w:p w14:paraId="7D7133C3" w14:textId="77777777" w:rsidR="0029062F" w:rsidRPr="00C52386" w:rsidRDefault="0029062F" w:rsidP="0029062F">
            <w:pPr>
              <w:spacing w:after="160" w:line="278" w:lineRule="auto"/>
              <w:rPr>
                <w:rFonts w:ascii="Calibri" w:eastAsia="Times New Roman" w:hAnsi="Calibri" w:cs="Calibri"/>
                <w:color w:val="0D0D0D"/>
                <w:kern w:val="0"/>
                <w:sz w:val="20"/>
                <w:szCs w:val="20"/>
                <w:lang w:eastAsia="fr-FR"/>
                <w14:ligatures w14:val="none"/>
              </w:rPr>
            </w:pPr>
            <w:r w:rsidRPr="00C52386">
              <w:rPr>
                <w:rFonts w:ascii="Calibri" w:eastAsia="Times New Roman" w:hAnsi="Calibri" w:cs="Calibri"/>
                <w:color w:val="0D0D0D"/>
                <w:kern w:val="0"/>
                <w:sz w:val="20"/>
                <w:szCs w:val="20"/>
                <w:lang w:eastAsia="fr-FR"/>
                <w14:ligatures w14:val="none"/>
              </w:rPr>
              <w:t>Shareholding details and participation terms of the State and SOEs in extractive contracts, including whether carried interest, free equity, etc.</w:t>
            </w:r>
          </w:p>
        </w:tc>
        <w:tc>
          <w:tcPr>
            <w:tcW w:w="0" w:type="auto"/>
            <w:hideMark/>
          </w:tcPr>
          <w:p w14:paraId="7ADBB2A0"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r w:rsidRPr="00C52386">
              <w:rPr>
                <w:rFonts w:ascii="Calibri" w:eastAsia="Times New Roman" w:hAnsi="Calibri" w:cs="Calibri"/>
                <w:color w:val="0D0D0D"/>
                <w:kern w:val="0"/>
                <w:sz w:val="20"/>
                <w:szCs w:val="20"/>
                <w:lang w:val="fr-FR" w:eastAsia="fr-FR"/>
                <w14:ligatures w14:val="none"/>
              </w:rPr>
              <w:t xml:space="preserve">Ministry of </w:t>
            </w:r>
            <w:proofErr w:type="spellStart"/>
            <w:r w:rsidRPr="00C52386">
              <w:rPr>
                <w:rFonts w:ascii="Calibri" w:eastAsia="Times New Roman" w:hAnsi="Calibri" w:cs="Calibri"/>
                <w:color w:val="0D0D0D"/>
                <w:kern w:val="0"/>
                <w:sz w:val="20"/>
                <w:szCs w:val="20"/>
                <w:lang w:val="fr-FR" w:eastAsia="fr-FR"/>
                <w14:ligatures w14:val="none"/>
              </w:rPr>
              <w:t>Oil</w:t>
            </w:r>
            <w:proofErr w:type="spellEnd"/>
            <w:r w:rsidRPr="00C52386">
              <w:rPr>
                <w:rFonts w:ascii="Calibri" w:eastAsia="Times New Roman" w:hAnsi="Calibri" w:cs="Calibri"/>
                <w:color w:val="0D0D0D"/>
                <w:kern w:val="0"/>
                <w:sz w:val="20"/>
                <w:szCs w:val="20"/>
                <w:lang w:val="fr-FR" w:eastAsia="fr-FR"/>
                <w14:ligatures w14:val="none"/>
              </w:rPr>
              <w:t xml:space="preserve">, </w:t>
            </w:r>
            <w:proofErr w:type="spellStart"/>
            <w:r w:rsidRPr="00C52386">
              <w:rPr>
                <w:rFonts w:ascii="Calibri" w:eastAsia="Times New Roman" w:hAnsi="Calibri" w:cs="Calibri"/>
                <w:color w:val="0D0D0D"/>
                <w:kern w:val="0"/>
                <w:sz w:val="20"/>
                <w:szCs w:val="20"/>
                <w:lang w:val="fr-FR" w:eastAsia="fr-FR"/>
                <w14:ligatures w14:val="none"/>
              </w:rPr>
              <w:t>SOEs</w:t>
            </w:r>
            <w:proofErr w:type="spellEnd"/>
          </w:p>
        </w:tc>
        <w:tc>
          <w:tcPr>
            <w:tcW w:w="0" w:type="auto"/>
            <w:hideMark/>
          </w:tcPr>
          <w:p w14:paraId="5960AED1"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r w:rsidRPr="00C52386">
              <w:rPr>
                <w:rFonts w:ascii="Calibri" w:eastAsia="Times New Roman" w:hAnsi="Calibri" w:cs="Calibri"/>
                <w:color w:val="0D0D0D"/>
                <w:kern w:val="0"/>
                <w:sz w:val="20"/>
                <w:szCs w:val="20"/>
                <w:lang w:val="fr-FR" w:eastAsia="fr-FR"/>
                <w14:ligatures w14:val="none"/>
              </w:rPr>
              <w:t xml:space="preserve">By SOE, </w:t>
            </w:r>
            <w:proofErr w:type="spellStart"/>
            <w:r w:rsidRPr="00C52386">
              <w:rPr>
                <w:rFonts w:ascii="Calibri" w:eastAsia="Times New Roman" w:hAnsi="Calibri" w:cs="Calibri"/>
                <w:color w:val="0D0D0D"/>
                <w:kern w:val="0"/>
                <w:sz w:val="20"/>
                <w:szCs w:val="20"/>
                <w:lang w:val="fr-FR" w:eastAsia="fr-FR"/>
                <w14:ligatures w14:val="none"/>
              </w:rPr>
              <w:t>contract</w:t>
            </w:r>
            <w:proofErr w:type="spellEnd"/>
            <w:r w:rsidRPr="00C52386">
              <w:rPr>
                <w:rFonts w:ascii="Calibri" w:eastAsia="Times New Roman" w:hAnsi="Calibri" w:cs="Calibri"/>
                <w:color w:val="0D0D0D"/>
                <w:kern w:val="0"/>
                <w:sz w:val="20"/>
                <w:szCs w:val="20"/>
                <w:lang w:val="fr-FR" w:eastAsia="fr-FR"/>
                <w14:ligatures w14:val="none"/>
              </w:rPr>
              <w:t>, project</w:t>
            </w:r>
          </w:p>
        </w:tc>
        <w:tc>
          <w:tcPr>
            <w:tcW w:w="0" w:type="auto"/>
            <w:hideMark/>
          </w:tcPr>
          <w:p w14:paraId="6D1F6A28"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proofErr w:type="spellStart"/>
            <w:r w:rsidRPr="00C52386">
              <w:rPr>
                <w:rFonts w:ascii="Calibri" w:eastAsia="Times New Roman" w:hAnsi="Calibri" w:cs="Calibri"/>
                <w:color w:val="0D0D0D"/>
                <w:kern w:val="0"/>
                <w:sz w:val="20"/>
                <w:szCs w:val="20"/>
                <w:lang w:val="fr-FR" w:eastAsia="fr-FR"/>
                <w14:ligatures w14:val="none"/>
              </w:rPr>
              <w:t>Annually</w:t>
            </w:r>
            <w:proofErr w:type="spellEnd"/>
            <w:r w:rsidRPr="00C52386">
              <w:rPr>
                <w:rFonts w:ascii="Calibri" w:eastAsia="Times New Roman" w:hAnsi="Calibri" w:cs="Calibri"/>
                <w:color w:val="0D0D0D"/>
                <w:kern w:val="0"/>
                <w:sz w:val="20"/>
                <w:szCs w:val="20"/>
                <w:lang w:val="fr-FR" w:eastAsia="fr-FR"/>
                <w14:ligatures w14:val="none"/>
              </w:rPr>
              <w:t xml:space="preserve"> &amp; Updates</w:t>
            </w:r>
          </w:p>
        </w:tc>
        <w:tc>
          <w:tcPr>
            <w:tcW w:w="0" w:type="auto"/>
            <w:hideMark/>
          </w:tcPr>
          <w:p w14:paraId="69385F63"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r w:rsidRPr="00C52386">
              <w:rPr>
                <w:rFonts w:ascii="Calibri" w:eastAsia="Times New Roman" w:hAnsi="Calibri" w:cs="Calibri"/>
                <w:color w:val="0D0D0D"/>
                <w:kern w:val="0"/>
                <w:sz w:val="20"/>
                <w:szCs w:val="20"/>
                <w:lang w:val="fr-FR" w:eastAsia="fr-FR"/>
                <w14:ligatures w14:val="none"/>
              </w:rPr>
              <w:t xml:space="preserve">CSV, HTML (PDF </w:t>
            </w:r>
            <w:proofErr w:type="spellStart"/>
            <w:r w:rsidRPr="00C52386">
              <w:rPr>
                <w:rFonts w:ascii="Calibri" w:eastAsia="Times New Roman" w:hAnsi="Calibri" w:cs="Calibri"/>
                <w:color w:val="0D0D0D"/>
                <w:kern w:val="0"/>
                <w:sz w:val="20"/>
                <w:szCs w:val="20"/>
                <w:lang w:val="fr-FR" w:eastAsia="fr-FR"/>
                <w14:ligatures w14:val="none"/>
              </w:rPr>
              <w:t>optional</w:t>
            </w:r>
            <w:proofErr w:type="spellEnd"/>
            <w:r w:rsidRPr="00C52386">
              <w:rPr>
                <w:rFonts w:ascii="Calibri" w:eastAsia="Times New Roman" w:hAnsi="Calibri" w:cs="Calibri"/>
                <w:color w:val="0D0D0D"/>
                <w:kern w:val="0"/>
                <w:sz w:val="20"/>
                <w:szCs w:val="20"/>
                <w:lang w:val="fr-FR" w:eastAsia="fr-FR"/>
                <w14:ligatures w14:val="none"/>
              </w:rPr>
              <w:t>)</w:t>
            </w:r>
          </w:p>
        </w:tc>
        <w:tc>
          <w:tcPr>
            <w:tcW w:w="0" w:type="auto"/>
            <w:hideMark/>
          </w:tcPr>
          <w:p w14:paraId="32B057AB" w14:textId="0C6A361B" w:rsidR="0029062F" w:rsidRPr="00C52386" w:rsidRDefault="00F27FE9" w:rsidP="0029062F">
            <w:pPr>
              <w:spacing w:after="160" w:line="278" w:lineRule="auto"/>
              <w:rPr>
                <w:rFonts w:ascii="Calibri" w:eastAsia="Times New Roman" w:hAnsi="Calibri" w:cs="Calibri"/>
                <w:color w:val="0D0D0D"/>
                <w:kern w:val="0"/>
                <w:sz w:val="20"/>
                <w:szCs w:val="20"/>
                <w:lang w:eastAsia="fr-FR"/>
                <w14:ligatures w14:val="none"/>
              </w:rPr>
            </w:pPr>
            <w:r w:rsidRPr="00F27FE9">
              <w:rPr>
                <w:rFonts w:ascii="Calibri" w:eastAsia="Times New Roman" w:hAnsi="Calibri" w:cs="Calibri"/>
                <w:color w:val="0D0D0D"/>
                <w:kern w:val="0"/>
                <w:sz w:val="20"/>
                <w:szCs w:val="20"/>
                <w:lang w:eastAsia="fr-FR"/>
                <w14:ligatures w14:val="none"/>
              </w:rPr>
              <w:t>NRTC</w:t>
            </w:r>
            <w:r w:rsidR="0029062F" w:rsidRPr="00C52386">
              <w:rPr>
                <w:rFonts w:ascii="Calibri" w:eastAsia="Times New Roman" w:hAnsi="Calibri" w:cs="Calibri"/>
                <w:color w:val="0D0D0D"/>
                <w:kern w:val="0"/>
                <w:sz w:val="20"/>
                <w:szCs w:val="20"/>
                <w:lang w:eastAsia="fr-FR"/>
                <w14:ligatures w14:val="none"/>
              </w:rPr>
              <w:t xml:space="preserve"> Iraq portal, </w:t>
            </w:r>
            <w:proofErr w:type="spellStart"/>
            <w:r w:rsidR="0029062F" w:rsidRPr="00C52386">
              <w:rPr>
                <w:rFonts w:ascii="Calibri" w:eastAsia="Times New Roman" w:hAnsi="Calibri" w:cs="Calibri"/>
                <w:color w:val="0D0D0D"/>
                <w:kern w:val="0"/>
                <w:sz w:val="20"/>
                <w:szCs w:val="20"/>
                <w:lang w:eastAsia="fr-FR"/>
                <w14:ligatures w14:val="none"/>
              </w:rPr>
              <w:t>MoO</w:t>
            </w:r>
            <w:proofErr w:type="spellEnd"/>
            <w:r w:rsidR="0029062F" w:rsidRPr="00C52386">
              <w:rPr>
                <w:rFonts w:ascii="Calibri" w:eastAsia="Times New Roman" w:hAnsi="Calibri" w:cs="Calibri"/>
                <w:color w:val="0D0D0D"/>
                <w:kern w:val="0"/>
                <w:sz w:val="20"/>
                <w:szCs w:val="20"/>
                <w:lang w:eastAsia="fr-FR"/>
                <w14:ligatures w14:val="none"/>
              </w:rPr>
              <w:t xml:space="preserve"> and SOE websites</w:t>
            </w:r>
          </w:p>
        </w:tc>
      </w:tr>
      <w:tr w:rsidR="008A66B2" w:rsidRPr="0029062F" w14:paraId="1E186D2B" w14:textId="77777777" w:rsidTr="00C52386">
        <w:tc>
          <w:tcPr>
            <w:tcW w:w="0" w:type="auto"/>
            <w:hideMark/>
          </w:tcPr>
          <w:p w14:paraId="14B408D3" w14:textId="77777777" w:rsidR="0029062F" w:rsidRPr="00C52386" w:rsidRDefault="0029062F" w:rsidP="0029062F">
            <w:pPr>
              <w:spacing w:after="160" w:line="278" w:lineRule="auto"/>
              <w:rPr>
                <w:rFonts w:ascii="Calibri" w:eastAsia="Times New Roman" w:hAnsi="Calibri" w:cs="Calibri"/>
                <w:color w:val="0D0D0D"/>
                <w:kern w:val="0"/>
                <w:sz w:val="20"/>
                <w:szCs w:val="20"/>
                <w:lang w:eastAsia="fr-FR"/>
                <w14:ligatures w14:val="none"/>
              </w:rPr>
            </w:pPr>
            <w:r w:rsidRPr="00C52386">
              <w:rPr>
                <w:rFonts w:ascii="Calibri" w:eastAsia="Times New Roman" w:hAnsi="Calibri" w:cs="Calibri"/>
                <w:b/>
                <w:bCs/>
                <w:color w:val="0D0D0D"/>
                <w:kern w:val="0"/>
                <w:sz w:val="20"/>
                <w:szCs w:val="20"/>
                <w:lang w:eastAsia="fr-FR"/>
                <w14:ligatures w14:val="none"/>
              </w:rPr>
              <w:t>Changes in Ownership and Transaction Terms</w:t>
            </w:r>
          </w:p>
        </w:tc>
        <w:tc>
          <w:tcPr>
            <w:tcW w:w="0" w:type="auto"/>
            <w:hideMark/>
          </w:tcPr>
          <w:p w14:paraId="59C34D62" w14:textId="77777777" w:rsidR="0029062F" w:rsidRPr="00C52386" w:rsidRDefault="0029062F" w:rsidP="0029062F">
            <w:pPr>
              <w:spacing w:after="160" w:line="278" w:lineRule="auto"/>
              <w:rPr>
                <w:rFonts w:ascii="Calibri" w:eastAsia="Times New Roman" w:hAnsi="Calibri" w:cs="Calibri"/>
                <w:color w:val="0D0D0D"/>
                <w:kern w:val="0"/>
                <w:sz w:val="20"/>
                <w:szCs w:val="20"/>
                <w:lang w:eastAsia="fr-FR"/>
                <w14:ligatures w14:val="none"/>
              </w:rPr>
            </w:pPr>
            <w:r w:rsidRPr="00C52386">
              <w:rPr>
                <w:rFonts w:ascii="Calibri" w:eastAsia="Times New Roman" w:hAnsi="Calibri" w:cs="Calibri"/>
                <w:color w:val="0D0D0D"/>
                <w:kern w:val="0"/>
                <w:sz w:val="20"/>
                <w:szCs w:val="20"/>
                <w:lang w:eastAsia="fr-FR"/>
                <w14:ligatures w14:val="none"/>
              </w:rPr>
              <w:t>Disclose any changes in State or SOE ownership during the period, including transaction values and conditions.</w:t>
            </w:r>
          </w:p>
        </w:tc>
        <w:tc>
          <w:tcPr>
            <w:tcW w:w="0" w:type="auto"/>
            <w:hideMark/>
          </w:tcPr>
          <w:p w14:paraId="347C946D"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proofErr w:type="spellStart"/>
            <w:r w:rsidRPr="00C52386">
              <w:rPr>
                <w:rFonts w:ascii="Calibri" w:eastAsia="Times New Roman" w:hAnsi="Calibri" w:cs="Calibri"/>
                <w:color w:val="0D0D0D"/>
                <w:kern w:val="0"/>
                <w:sz w:val="20"/>
                <w:szCs w:val="20"/>
                <w:lang w:val="fr-FR" w:eastAsia="fr-FR"/>
                <w14:ligatures w14:val="none"/>
              </w:rPr>
              <w:t>MoF</w:t>
            </w:r>
            <w:proofErr w:type="spellEnd"/>
            <w:r w:rsidRPr="00C52386">
              <w:rPr>
                <w:rFonts w:ascii="Calibri" w:eastAsia="Times New Roman" w:hAnsi="Calibri" w:cs="Calibri"/>
                <w:color w:val="0D0D0D"/>
                <w:kern w:val="0"/>
                <w:sz w:val="20"/>
                <w:szCs w:val="20"/>
                <w:lang w:val="fr-FR" w:eastAsia="fr-FR"/>
                <w14:ligatures w14:val="none"/>
              </w:rPr>
              <w:t xml:space="preserve">, </w:t>
            </w:r>
            <w:proofErr w:type="spellStart"/>
            <w:r w:rsidRPr="00C52386">
              <w:rPr>
                <w:rFonts w:ascii="Calibri" w:eastAsia="Times New Roman" w:hAnsi="Calibri" w:cs="Calibri"/>
                <w:color w:val="0D0D0D"/>
                <w:kern w:val="0"/>
                <w:sz w:val="20"/>
                <w:szCs w:val="20"/>
                <w:lang w:val="fr-FR" w:eastAsia="fr-FR"/>
                <w14:ligatures w14:val="none"/>
              </w:rPr>
              <w:t>MoO</w:t>
            </w:r>
            <w:proofErr w:type="spellEnd"/>
            <w:r w:rsidRPr="00C52386">
              <w:rPr>
                <w:rFonts w:ascii="Calibri" w:eastAsia="Times New Roman" w:hAnsi="Calibri" w:cs="Calibri"/>
                <w:color w:val="0D0D0D"/>
                <w:kern w:val="0"/>
                <w:sz w:val="20"/>
                <w:szCs w:val="20"/>
                <w:lang w:val="fr-FR" w:eastAsia="fr-FR"/>
                <w14:ligatures w14:val="none"/>
              </w:rPr>
              <w:t xml:space="preserve">, </w:t>
            </w:r>
            <w:proofErr w:type="spellStart"/>
            <w:r w:rsidRPr="00C52386">
              <w:rPr>
                <w:rFonts w:ascii="Calibri" w:eastAsia="Times New Roman" w:hAnsi="Calibri" w:cs="Calibri"/>
                <w:color w:val="0D0D0D"/>
                <w:kern w:val="0"/>
                <w:sz w:val="20"/>
                <w:szCs w:val="20"/>
                <w:lang w:val="fr-FR" w:eastAsia="fr-FR"/>
                <w14:ligatures w14:val="none"/>
              </w:rPr>
              <w:t>SOEs</w:t>
            </w:r>
            <w:proofErr w:type="spellEnd"/>
          </w:p>
        </w:tc>
        <w:tc>
          <w:tcPr>
            <w:tcW w:w="0" w:type="auto"/>
            <w:hideMark/>
          </w:tcPr>
          <w:p w14:paraId="2A56DBB0"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r w:rsidRPr="00C52386">
              <w:rPr>
                <w:rFonts w:ascii="Calibri" w:eastAsia="Times New Roman" w:hAnsi="Calibri" w:cs="Calibri"/>
                <w:color w:val="0D0D0D"/>
                <w:kern w:val="0"/>
                <w:sz w:val="20"/>
                <w:szCs w:val="20"/>
                <w:lang w:val="fr-FR" w:eastAsia="fr-FR"/>
                <w14:ligatures w14:val="none"/>
              </w:rPr>
              <w:t>By SOE, project</w:t>
            </w:r>
          </w:p>
        </w:tc>
        <w:tc>
          <w:tcPr>
            <w:tcW w:w="0" w:type="auto"/>
            <w:hideMark/>
          </w:tcPr>
          <w:p w14:paraId="6136AA5B"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proofErr w:type="spellStart"/>
            <w:r w:rsidRPr="00C52386">
              <w:rPr>
                <w:rFonts w:ascii="Calibri" w:eastAsia="Times New Roman" w:hAnsi="Calibri" w:cs="Calibri"/>
                <w:color w:val="0D0D0D"/>
                <w:kern w:val="0"/>
                <w:sz w:val="20"/>
                <w:szCs w:val="20"/>
                <w:lang w:val="fr-FR" w:eastAsia="fr-FR"/>
                <w14:ligatures w14:val="none"/>
              </w:rPr>
              <w:t>Annually</w:t>
            </w:r>
            <w:proofErr w:type="spellEnd"/>
            <w:r w:rsidRPr="00C52386">
              <w:rPr>
                <w:rFonts w:ascii="Calibri" w:eastAsia="Times New Roman" w:hAnsi="Calibri" w:cs="Calibri"/>
                <w:color w:val="0D0D0D"/>
                <w:kern w:val="0"/>
                <w:sz w:val="20"/>
                <w:szCs w:val="20"/>
                <w:lang w:val="fr-FR" w:eastAsia="fr-FR"/>
                <w14:ligatures w14:val="none"/>
              </w:rPr>
              <w:t xml:space="preserve"> &amp; </w:t>
            </w:r>
            <w:proofErr w:type="spellStart"/>
            <w:r w:rsidRPr="00C52386">
              <w:rPr>
                <w:rFonts w:ascii="Calibri" w:eastAsia="Times New Roman" w:hAnsi="Calibri" w:cs="Calibri"/>
                <w:color w:val="0D0D0D"/>
                <w:kern w:val="0"/>
                <w:sz w:val="20"/>
                <w:szCs w:val="20"/>
                <w:lang w:val="fr-FR" w:eastAsia="fr-FR"/>
                <w14:ligatures w14:val="none"/>
              </w:rPr>
              <w:t>Upon</w:t>
            </w:r>
            <w:proofErr w:type="spellEnd"/>
            <w:r w:rsidRPr="00C52386">
              <w:rPr>
                <w:rFonts w:ascii="Calibri" w:eastAsia="Times New Roman" w:hAnsi="Calibri" w:cs="Calibri"/>
                <w:color w:val="0D0D0D"/>
                <w:kern w:val="0"/>
                <w:sz w:val="20"/>
                <w:szCs w:val="20"/>
                <w:lang w:val="fr-FR" w:eastAsia="fr-FR"/>
                <w14:ligatures w14:val="none"/>
              </w:rPr>
              <w:t xml:space="preserve"> Event</w:t>
            </w:r>
          </w:p>
        </w:tc>
        <w:tc>
          <w:tcPr>
            <w:tcW w:w="0" w:type="auto"/>
            <w:hideMark/>
          </w:tcPr>
          <w:p w14:paraId="0932407A"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r w:rsidRPr="00C52386">
              <w:rPr>
                <w:rFonts w:ascii="Calibri" w:eastAsia="Times New Roman" w:hAnsi="Calibri" w:cs="Calibri"/>
                <w:color w:val="0D0D0D"/>
                <w:kern w:val="0"/>
                <w:sz w:val="20"/>
                <w:szCs w:val="20"/>
                <w:lang w:val="fr-FR" w:eastAsia="fr-FR"/>
                <w14:ligatures w14:val="none"/>
              </w:rPr>
              <w:t>CSV, HTML</w:t>
            </w:r>
          </w:p>
        </w:tc>
        <w:tc>
          <w:tcPr>
            <w:tcW w:w="0" w:type="auto"/>
            <w:hideMark/>
          </w:tcPr>
          <w:p w14:paraId="67E02C82" w14:textId="7D6742B4" w:rsidR="0029062F" w:rsidRPr="00C52386" w:rsidRDefault="00F27FE9" w:rsidP="0029062F">
            <w:pPr>
              <w:spacing w:after="160" w:line="278" w:lineRule="auto"/>
              <w:rPr>
                <w:rFonts w:ascii="Calibri" w:eastAsia="Times New Roman" w:hAnsi="Calibri" w:cs="Calibri"/>
                <w:color w:val="0D0D0D"/>
                <w:kern w:val="0"/>
                <w:sz w:val="20"/>
                <w:szCs w:val="20"/>
                <w:lang w:val="fr-FR" w:eastAsia="fr-FR"/>
                <w14:ligatures w14:val="none"/>
              </w:rPr>
            </w:pPr>
            <w:r w:rsidRPr="00F27FE9">
              <w:rPr>
                <w:rFonts w:ascii="Calibri" w:eastAsia="Times New Roman" w:hAnsi="Calibri" w:cs="Calibri"/>
                <w:color w:val="0D0D0D"/>
                <w:kern w:val="0"/>
                <w:sz w:val="20"/>
                <w:szCs w:val="20"/>
                <w:lang w:val="fr-FR" w:eastAsia="fr-FR"/>
                <w14:ligatures w14:val="none"/>
              </w:rPr>
              <w:t>NRTC</w:t>
            </w:r>
            <w:r w:rsidR="0029062F" w:rsidRPr="00C52386">
              <w:rPr>
                <w:rFonts w:ascii="Calibri" w:eastAsia="Times New Roman" w:hAnsi="Calibri" w:cs="Calibri"/>
                <w:color w:val="0D0D0D"/>
                <w:kern w:val="0"/>
                <w:sz w:val="20"/>
                <w:szCs w:val="20"/>
                <w:lang w:val="fr-FR" w:eastAsia="fr-FR"/>
                <w14:ligatures w14:val="none"/>
              </w:rPr>
              <w:t xml:space="preserve"> Iraq portal</w:t>
            </w:r>
          </w:p>
        </w:tc>
      </w:tr>
      <w:tr w:rsidR="008A66B2" w:rsidRPr="0029062F" w14:paraId="3C002031" w14:textId="77777777" w:rsidTr="00C52386">
        <w:tc>
          <w:tcPr>
            <w:tcW w:w="0" w:type="auto"/>
            <w:hideMark/>
          </w:tcPr>
          <w:p w14:paraId="2A20BA5A" w14:textId="77777777" w:rsidR="0029062F" w:rsidRPr="00C52386" w:rsidRDefault="0029062F" w:rsidP="0029062F">
            <w:pPr>
              <w:spacing w:after="160" w:line="278" w:lineRule="auto"/>
              <w:rPr>
                <w:rFonts w:ascii="Calibri" w:eastAsia="Times New Roman" w:hAnsi="Calibri" w:cs="Calibri"/>
                <w:color w:val="0D0D0D"/>
                <w:kern w:val="0"/>
                <w:sz w:val="20"/>
                <w:szCs w:val="20"/>
                <w:lang w:eastAsia="fr-FR"/>
                <w14:ligatures w14:val="none"/>
              </w:rPr>
            </w:pPr>
            <w:r w:rsidRPr="00C52386">
              <w:rPr>
                <w:rFonts w:ascii="Calibri" w:eastAsia="Times New Roman" w:hAnsi="Calibri" w:cs="Calibri"/>
                <w:b/>
                <w:bCs/>
                <w:color w:val="0D0D0D"/>
                <w:kern w:val="0"/>
                <w:sz w:val="20"/>
                <w:szCs w:val="20"/>
                <w:lang w:eastAsia="fr-FR"/>
                <w14:ligatures w14:val="none"/>
              </w:rPr>
              <w:t>Financial Relationship Rules between SOEs and the State</w:t>
            </w:r>
          </w:p>
        </w:tc>
        <w:tc>
          <w:tcPr>
            <w:tcW w:w="0" w:type="auto"/>
            <w:hideMark/>
          </w:tcPr>
          <w:p w14:paraId="4499DD38" w14:textId="77777777" w:rsidR="0029062F" w:rsidRPr="00C52386" w:rsidRDefault="0029062F" w:rsidP="0029062F">
            <w:pPr>
              <w:spacing w:after="160" w:line="278" w:lineRule="auto"/>
              <w:rPr>
                <w:rFonts w:ascii="Calibri" w:eastAsia="Times New Roman" w:hAnsi="Calibri" w:cs="Calibri"/>
                <w:color w:val="0D0D0D"/>
                <w:kern w:val="0"/>
                <w:sz w:val="20"/>
                <w:szCs w:val="20"/>
                <w:lang w:eastAsia="fr-FR"/>
                <w14:ligatures w14:val="none"/>
              </w:rPr>
            </w:pPr>
            <w:r w:rsidRPr="00C52386">
              <w:rPr>
                <w:rFonts w:ascii="Calibri" w:eastAsia="Times New Roman" w:hAnsi="Calibri" w:cs="Calibri"/>
                <w:color w:val="0D0D0D"/>
                <w:kern w:val="0"/>
                <w:sz w:val="20"/>
                <w:szCs w:val="20"/>
                <w:lang w:eastAsia="fr-FR"/>
                <w14:ligatures w14:val="none"/>
              </w:rPr>
              <w:t>Rules and practices on transfers, retained earnings, reinvestments, and third-party financing between SOEs and the State.</w:t>
            </w:r>
          </w:p>
        </w:tc>
        <w:tc>
          <w:tcPr>
            <w:tcW w:w="0" w:type="auto"/>
            <w:hideMark/>
          </w:tcPr>
          <w:p w14:paraId="5DC894F8" w14:textId="77777777" w:rsidR="0029062F" w:rsidRPr="00C52386" w:rsidRDefault="0029062F" w:rsidP="0029062F">
            <w:pPr>
              <w:spacing w:after="160" w:line="278" w:lineRule="auto"/>
              <w:rPr>
                <w:rFonts w:ascii="Calibri" w:eastAsia="Times New Roman" w:hAnsi="Calibri" w:cs="Calibri"/>
                <w:color w:val="0D0D0D"/>
                <w:kern w:val="0"/>
                <w:sz w:val="20"/>
                <w:szCs w:val="20"/>
                <w:lang w:eastAsia="fr-FR"/>
                <w14:ligatures w14:val="none"/>
              </w:rPr>
            </w:pPr>
            <w:r w:rsidRPr="00C52386">
              <w:rPr>
                <w:rFonts w:ascii="Calibri" w:eastAsia="Times New Roman" w:hAnsi="Calibri" w:cs="Calibri"/>
                <w:color w:val="0D0D0D"/>
                <w:kern w:val="0"/>
                <w:sz w:val="20"/>
                <w:szCs w:val="20"/>
                <w:lang w:eastAsia="fr-FR"/>
                <w14:ligatures w14:val="none"/>
              </w:rPr>
              <w:t>Ministry of Finance, Ministry of Oil, SOEs</w:t>
            </w:r>
          </w:p>
        </w:tc>
        <w:tc>
          <w:tcPr>
            <w:tcW w:w="0" w:type="auto"/>
            <w:hideMark/>
          </w:tcPr>
          <w:p w14:paraId="7307CFF3"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r w:rsidRPr="00C52386">
              <w:rPr>
                <w:rFonts w:ascii="Calibri" w:eastAsia="Times New Roman" w:hAnsi="Calibri" w:cs="Calibri"/>
                <w:color w:val="0D0D0D"/>
                <w:kern w:val="0"/>
                <w:sz w:val="20"/>
                <w:szCs w:val="20"/>
                <w:lang w:val="fr-FR" w:eastAsia="fr-FR"/>
                <w14:ligatures w14:val="none"/>
              </w:rPr>
              <w:t>By SOE</w:t>
            </w:r>
          </w:p>
        </w:tc>
        <w:tc>
          <w:tcPr>
            <w:tcW w:w="0" w:type="auto"/>
            <w:hideMark/>
          </w:tcPr>
          <w:p w14:paraId="0DC17FA9"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proofErr w:type="spellStart"/>
            <w:r w:rsidRPr="00C52386">
              <w:rPr>
                <w:rFonts w:ascii="Calibri" w:eastAsia="Times New Roman" w:hAnsi="Calibri" w:cs="Calibri"/>
                <w:color w:val="0D0D0D"/>
                <w:kern w:val="0"/>
                <w:sz w:val="20"/>
                <w:szCs w:val="20"/>
                <w:lang w:val="fr-FR" w:eastAsia="fr-FR"/>
                <w14:ligatures w14:val="none"/>
              </w:rPr>
              <w:t>Annually</w:t>
            </w:r>
            <w:proofErr w:type="spellEnd"/>
            <w:r w:rsidRPr="00C52386">
              <w:rPr>
                <w:rFonts w:ascii="Calibri" w:eastAsia="Times New Roman" w:hAnsi="Calibri" w:cs="Calibri"/>
                <w:color w:val="0D0D0D"/>
                <w:kern w:val="0"/>
                <w:sz w:val="20"/>
                <w:szCs w:val="20"/>
                <w:lang w:val="fr-FR" w:eastAsia="fr-FR"/>
                <w14:ligatures w14:val="none"/>
              </w:rPr>
              <w:t xml:space="preserve"> &amp; Updates</w:t>
            </w:r>
          </w:p>
        </w:tc>
        <w:tc>
          <w:tcPr>
            <w:tcW w:w="0" w:type="auto"/>
            <w:hideMark/>
          </w:tcPr>
          <w:p w14:paraId="534B3CE7"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r w:rsidRPr="00C52386">
              <w:rPr>
                <w:rFonts w:ascii="Calibri" w:eastAsia="Times New Roman" w:hAnsi="Calibri" w:cs="Calibri"/>
                <w:color w:val="0D0D0D"/>
                <w:kern w:val="0"/>
                <w:sz w:val="20"/>
                <w:szCs w:val="20"/>
                <w:lang w:val="fr-FR" w:eastAsia="fr-FR"/>
                <w14:ligatures w14:val="none"/>
              </w:rPr>
              <w:t>CSV, HTML</w:t>
            </w:r>
          </w:p>
        </w:tc>
        <w:tc>
          <w:tcPr>
            <w:tcW w:w="0" w:type="auto"/>
            <w:hideMark/>
          </w:tcPr>
          <w:p w14:paraId="086C40D7" w14:textId="64EE97DE" w:rsidR="0029062F" w:rsidRPr="00C52386" w:rsidRDefault="00F27FE9" w:rsidP="0029062F">
            <w:pPr>
              <w:spacing w:after="160" w:line="278" w:lineRule="auto"/>
              <w:rPr>
                <w:rFonts w:ascii="Calibri" w:eastAsia="Times New Roman" w:hAnsi="Calibri" w:cs="Calibri"/>
                <w:color w:val="0D0D0D"/>
                <w:kern w:val="0"/>
                <w:sz w:val="20"/>
                <w:szCs w:val="20"/>
                <w:lang w:val="fr-FR" w:eastAsia="fr-FR"/>
                <w14:ligatures w14:val="none"/>
              </w:rPr>
            </w:pPr>
            <w:r w:rsidRPr="00F27FE9">
              <w:rPr>
                <w:rFonts w:ascii="Calibri" w:eastAsia="Times New Roman" w:hAnsi="Calibri" w:cs="Calibri"/>
                <w:color w:val="0D0D0D"/>
                <w:kern w:val="0"/>
                <w:sz w:val="20"/>
                <w:szCs w:val="20"/>
                <w:lang w:val="fr-FR" w:eastAsia="fr-FR"/>
                <w14:ligatures w14:val="none"/>
              </w:rPr>
              <w:t>NRTC</w:t>
            </w:r>
            <w:r w:rsidR="0029062F" w:rsidRPr="00C52386">
              <w:rPr>
                <w:rFonts w:ascii="Calibri" w:eastAsia="Times New Roman" w:hAnsi="Calibri" w:cs="Calibri"/>
                <w:color w:val="0D0D0D"/>
                <w:kern w:val="0"/>
                <w:sz w:val="20"/>
                <w:szCs w:val="20"/>
                <w:lang w:val="fr-FR" w:eastAsia="fr-FR"/>
                <w14:ligatures w14:val="none"/>
              </w:rPr>
              <w:t xml:space="preserve"> Iraq portal</w:t>
            </w:r>
          </w:p>
        </w:tc>
      </w:tr>
      <w:tr w:rsidR="008A66B2" w:rsidRPr="008A66B2" w14:paraId="4040009B" w14:textId="77777777" w:rsidTr="00C52386">
        <w:tc>
          <w:tcPr>
            <w:tcW w:w="0" w:type="auto"/>
            <w:hideMark/>
          </w:tcPr>
          <w:p w14:paraId="6BDFD875"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proofErr w:type="spellStart"/>
            <w:r w:rsidRPr="00C52386">
              <w:rPr>
                <w:rFonts w:ascii="Calibri" w:eastAsia="Times New Roman" w:hAnsi="Calibri" w:cs="Calibri"/>
                <w:b/>
                <w:bCs/>
                <w:color w:val="0D0D0D"/>
                <w:kern w:val="0"/>
                <w:sz w:val="20"/>
                <w:szCs w:val="20"/>
                <w:lang w:val="fr-FR" w:eastAsia="fr-FR"/>
                <w14:ligatures w14:val="none"/>
              </w:rPr>
              <w:t>Loans</w:t>
            </w:r>
            <w:proofErr w:type="spellEnd"/>
            <w:r w:rsidRPr="00C52386">
              <w:rPr>
                <w:rFonts w:ascii="Calibri" w:eastAsia="Times New Roman" w:hAnsi="Calibri" w:cs="Calibri"/>
                <w:b/>
                <w:bCs/>
                <w:color w:val="0D0D0D"/>
                <w:kern w:val="0"/>
                <w:sz w:val="20"/>
                <w:szCs w:val="20"/>
                <w:lang w:val="fr-FR" w:eastAsia="fr-FR"/>
                <w14:ligatures w14:val="none"/>
              </w:rPr>
              <w:t xml:space="preserve"> and </w:t>
            </w:r>
            <w:proofErr w:type="spellStart"/>
            <w:r w:rsidRPr="00C52386">
              <w:rPr>
                <w:rFonts w:ascii="Calibri" w:eastAsia="Times New Roman" w:hAnsi="Calibri" w:cs="Calibri"/>
                <w:b/>
                <w:bCs/>
                <w:color w:val="0D0D0D"/>
                <w:kern w:val="0"/>
                <w:sz w:val="20"/>
                <w:szCs w:val="20"/>
                <w:lang w:val="fr-FR" w:eastAsia="fr-FR"/>
                <w14:ligatures w14:val="none"/>
              </w:rPr>
              <w:t>Guarantees</w:t>
            </w:r>
            <w:proofErr w:type="spellEnd"/>
          </w:p>
        </w:tc>
        <w:tc>
          <w:tcPr>
            <w:tcW w:w="0" w:type="auto"/>
            <w:hideMark/>
          </w:tcPr>
          <w:p w14:paraId="057FE67C" w14:textId="77777777" w:rsidR="0029062F" w:rsidRPr="00C52386" w:rsidRDefault="0029062F" w:rsidP="0029062F">
            <w:pPr>
              <w:spacing w:after="160" w:line="278" w:lineRule="auto"/>
              <w:rPr>
                <w:rFonts w:ascii="Calibri" w:eastAsia="Times New Roman" w:hAnsi="Calibri" w:cs="Calibri"/>
                <w:color w:val="0D0D0D"/>
                <w:kern w:val="0"/>
                <w:sz w:val="20"/>
                <w:szCs w:val="20"/>
                <w:lang w:eastAsia="fr-FR"/>
                <w14:ligatures w14:val="none"/>
              </w:rPr>
            </w:pPr>
            <w:r w:rsidRPr="00C52386">
              <w:rPr>
                <w:rFonts w:ascii="Calibri" w:eastAsia="Times New Roman" w:hAnsi="Calibri" w:cs="Calibri"/>
                <w:color w:val="0D0D0D"/>
                <w:kern w:val="0"/>
                <w:sz w:val="20"/>
                <w:szCs w:val="20"/>
                <w:lang w:eastAsia="fr-FR"/>
                <w14:ligatures w14:val="none"/>
              </w:rPr>
              <w:t>Disclosure of loans and guarantees granted by the State or SOEs, including repayment schedules and interest rates.</w:t>
            </w:r>
          </w:p>
        </w:tc>
        <w:tc>
          <w:tcPr>
            <w:tcW w:w="0" w:type="auto"/>
            <w:hideMark/>
          </w:tcPr>
          <w:p w14:paraId="16B9DEC4"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r w:rsidRPr="00C52386">
              <w:rPr>
                <w:rFonts w:ascii="Calibri" w:eastAsia="Times New Roman" w:hAnsi="Calibri" w:cs="Calibri"/>
                <w:color w:val="0D0D0D"/>
                <w:kern w:val="0"/>
                <w:sz w:val="20"/>
                <w:szCs w:val="20"/>
                <w:lang w:val="fr-FR" w:eastAsia="fr-FR"/>
                <w14:ligatures w14:val="none"/>
              </w:rPr>
              <w:t xml:space="preserve">Ministry of Finance, </w:t>
            </w:r>
            <w:proofErr w:type="spellStart"/>
            <w:r w:rsidRPr="00C52386">
              <w:rPr>
                <w:rFonts w:ascii="Calibri" w:eastAsia="Times New Roman" w:hAnsi="Calibri" w:cs="Calibri"/>
                <w:color w:val="0D0D0D"/>
                <w:kern w:val="0"/>
                <w:sz w:val="20"/>
                <w:szCs w:val="20"/>
                <w:lang w:val="fr-FR" w:eastAsia="fr-FR"/>
                <w14:ligatures w14:val="none"/>
              </w:rPr>
              <w:t>SOEs</w:t>
            </w:r>
            <w:proofErr w:type="spellEnd"/>
          </w:p>
        </w:tc>
        <w:tc>
          <w:tcPr>
            <w:tcW w:w="0" w:type="auto"/>
            <w:hideMark/>
          </w:tcPr>
          <w:p w14:paraId="73A3D61F"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r w:rsidRPr="00C52386">
              <w:rPr>
                <w:rFonts w:ascii="Calibri" w:eastAsia="Times New Roman" w:hAnsi="Calibri" w:cs="Calibri"/>
                <w:color w:val="0D0D0D"/>
                <w:kern w:val="0"/>
                <w:sz w:val="20"/>
                <w:szCs w:val="20"/>
                <w:lang w:val="fr-FR" w:eastAsia="fr-FR"/>
                <w14:ligatures w14:val="none"/>
              </w:rPr>
              <w:t xml:space="preserve">By </w:t>
            </w:r>
            <w:proofErr w:type="spellStart"/>
            <w:r w:rsidRPr="00C52386">
              <w:rPr>
                <w:rFonts w:ascii="Calibri" w:eastAsia="Times New Roman" w:hAnsi="Calibri" w:cs="Calibri"/>
                <w:color w:val="0D0D0D"/>
                <w:kern w:val="0"/>
                <w:sz w:val="20"/>
                <w:szCs w:val="20"/>
                <w:lang w:val="fr-FR" w:eastAsia="fr-FR"/>
                <w14:ligatures w14:val="none"/>
              </w:rPr>
              <w:t>loan</w:t>
            </w:r>
            <w:proofErr w:type="spellEnd"/>
            <w:r w:rsidRPr="00C52386">
              <w:rPr>
                <w:rFonts w:ascii="Calibri" w:eastAsia="Times New Roman" w:hAnsi="Calibri" w:cs="Calibri"/>
                <w:color w:val="0D0D0D"/>
                <w:kern w:val="0"/>
                <w:sz w:val="20"/>
                <w:szCs w:val="20"/>
                <w:lang w:val="fr-FR" w:eastAsia="fr-FR"/>
                <w14:ligatures w14:val="none"/>
              </w:rPr>
              <w:t>, project</w:t>
            </w:r>
          </w:p>
        </w:tc>
        <w:tc>
          <w:tcPr>
            <w:tcW w:w="0" w:type="auto"/>
            <w:hideMark/>
          </w:tcPr>
          <w:p w14:paraId="6F5A6A0E"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proofErr w:type="spellStart"/>
            <w:r w:rsidRPr="00C52386">
              <w:rPr>
                <w:rFonts w:ascii="Calibri" w:eastAsia="Times New Roman" w:hAnsi="Calibri" w:cs="Calibri"/>
                <w:color w:val="0D0D0D"/>
                <w:kern w:val="0"/>
                <w:sz w:val="20"/>
                <w:szCs w:val="20"/>
                <w:lang w:val="fr-FR" w:eastAsia="fr-FR"/>
                <w14:ligatures w14:val="none"/>
              </w:rPr>
              <w:t>Annually</w:t>
            </w:r>
            <w:proofErr w:type="spellEnd"/>
          </w:p>
        </w:tc>
        <w:tc>
          <w:tcPr>
            <w:tcW w:w="0" w:type="auto"/>
            <w:hideMark/>
          </w:tcPr>
          <w:p w14:paraId="7AA39298"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r w:rsidRPr="00C52386">
              <w:rPr>
                <w:rFonts w:ascii="Calibri" w:eastAsia="Times New Roman" w:hAnsi="Calibri" w:cs="Calibri"/>
                <w:color w:val="0D0D0D"/>
                <w:kern w:val="0"/>
                <w:sz w:val="20"/>
                <w:szCs w:val="20"/>
                <w:lang w:val="fr-FR" w:eastAsia="fr-FR"/>
                <w14:ligatures w14:val="none"/>
              </w:rPr>
              <w:t>CSV, HTML</w:t>
            </w:r>
          </w:p>
        </w:tc>
        <w:tc>
          <w:tcPr>
            <w:tcW w:w="0" w:type="auto"/>
            <w:hideMark/>
          </w:tcPr>
          <w:p w14:paraId="703BC6A1" w14:textId="5078A955" w:rsidR="0029062F" w:rsidRPr="00C52386" w:rsidRDefault="00F27FE9" w:rsidP="0029062F">
            <w:pPr>
              <w:spacing w:after="160" w:line="278" w:lineRule="auto"/>
              <w:rPr>
                <w:rFonts w:ascii="Calibri" w:eastAsia="Times New Roman" w:hAnsi="Calibri" w:cs="Calibri"/>
                <w:color w:val="0D0D0D"/>
                <w:kern w:val="0"/>
                <w:sz w:val="20"/>
                <w:szCs w:val="20"/>
                <w:lang w:eastAsia="fr-FR"/>
                <w14:ligatures w14:val="none"/>
              </w:rPr>
            </w:pPr>
            <w:r w:rsidRPr="00F27FE9">
              <w:rPr>
                <w:rFonts w:ascii="Calibri" w:eastAsia="Times New Roman" w:hAnsi="Calibri" w:cs="Calibri"/>
                <w:color w:val="0D0D0D"/>
                <w:kern w:val="0"/>
                <w:sz w:val="20"/>
                <w:szCs w:val="20"/>
                <w:lang w:eastAsia="fr-FR"/>
                <w14:ligatures w14:val="none"/>
              </w:rPr>
              <w:t>NRTC</w:t>
            </w:r>
            <w:r w:rsidR="0029062F" w:rsidRPr="00C52386">
              <w:rPr>
                <w:rFonts w:ascii="Calibri" w:eastAsia="Times New Roman" w:hAnsi="Calibri" w:cs="Calibri"/>
                <w:color w:val="0D0D0D"/>
                <w:kern w:val="0"/>
                <w:sz w:val="20"/>
                <w:szCs w:val="20"/>
                <w:lang w:eastAsia="fr-FR"/>
                <w14:ligatures w14:val="none"/>
              </w:rPr>
              <w:t xml:space="preserve"> Iraq portal, Ministry of Finance website</w:t>
            </w:r>
          </w:p>
        </w:tc>
      </w:tr>
      <w:tr w:rsidR="008A66B2" w:rsidRPr="008A66B2" w14:paraId="5FA60700" w14:textId="77777777" w:rsidTr="00C52386">
        <w:tc>
          <w:tcPr>
            <w:tcW w:w="0" w:type="auto"/>
            <w:hideMark/>
          </w:tcPr>
          <w:p w14:paraId="7264065C" w14:textId="77777777" w:rsidR="0029062F" w:rsidRPr="00C52386" w:rsidRDefault="0029062F" w:rsidP="0029062F">
            <w:pPr>
              <w:spacing w:after="160" w:line="278" w:lineRule="auto"/>
              <w:rPr>
                <w:rFonts w:ascii="Calibri" w:eastAsia="Times New Roman" w:hAnsi="Calibri" w:cs="Calibri"/>
                <w:color w:val="0D0D0D"/>
                <w:kern w:val="0"/>
                <w:sz w:val="20"/>
                <w:szCs w:val="20"/>
                <w:lang w:eastAsia="fr-FR"/>
                <w14:ligatures w14:val="none"/>
              </w:rPr>
            </w:pPr>
            <w:r w:rsidRPr="00C52386">
              <w:rPr>
                <w:rFonts w:ascii="Calibri" w:eastAsia="Times New Roman" w:hAnsi="Calibri" w:cs="Calibri"/>
                <w:b/>
                <w:bCs/>
                <w:color w:val="0D0D0D"/>
                <w:kern w:val="0"/>
                <w:sz w:val="20"/>
                <w:szCs w:val="20"/>
                <w:lang w:eastAsia="fr-FR"/>
                <w14:ligatures w14:val="none"/>
              </w:rPr>
              <w:t>State Share in SOE Profits</w:t>
            </w:r>
          </w:p>
        </w:tc>
        <w:tc>
          <w:tcPr>
            <w:tcW w:w="0" w:type="auto"/>
            <w:hideMark/>
          </w:tcPr>
          <w:p w14:paraId="0254DF47" w14:textId="77777777" w:rsidR="0029062F" w:rsidRPr="00C52386" w:rsidRDefault="0029062F" w:rsidP="0029062F">
            <w:pPr>
              <w:spacing w:after="160" w:line="278" w:lineRule="auto"/>
              <w:rPr>
                <w:rFonts w:ascii="Calibri" w:eastAsia="Times New Roman" w:hAnsi="Calibri" w:cs="Calibri"/>
                <w:color w:val="0D0D0D"/>
                <w:kern w:val="0"/>
                <w:sz w:val="20"/>
                <w:szCs w:val="20"/>
                <w:lang w:eastAsia="fr-FR"/>
                <w14:ligatures w14:val="none"/>
              </w:rPr>
            </w:pPr>
            <w:r w:rsidRPr="00C52386">
              <w:rPr>
                <w:rFonts w:ascii="Calibri" w:eastAsia="Times New Roman" w:hAnsi="Calibri" w:cs="Calibri"/>
                <w:color w:val="0D0D0D"/>
                <w:kern w:val="0"/>
                <w:sz w:val="20"/>
                <w:szCs w:val="20"/>
                <w:lang w:eastAsia="fr-FR"/>
                <w14:ligatures w14:val="none"/>
              </w:rPr>
              <w:t>Amounts of SOE profits distributed to the Treasury and the basis for profit allocation.</w:t>
            </w:r>
          </w:p>
        </w:tc>
        <w:tc>
          <w:tcPr>
            <w:tcW w:w="0" w:type="auto"/>
            <w:hideMark/>
          </w:tcPr>
          <w:p w14:paraId="0D0650FB"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proofErr w:type="spellStart"/>
            <w:r w:rsidRPr="00C52386">
              <w:rPr>
                <w:rFonts w:ascii="Calibri" w:eastAsia="Times New Roman" w:hAnsi="Calibri" w:cs="Calibri"/>
                <w:color w:val="0D0D0D"/>
                <w:kern w:val="0"/>
                <w:sz w:val="20"/>
                <w:szCs w:val="20"/>
                <w:lang w:val="fr-FR" w:eastAsia="fr-FR"/>
                <w14:ligatures w14:val="none"/>
              </w:rPr>
              <w:t>SOEs</w:t>
            </w:r>
            <w:proofErr w:type="spellEnd"/>
            <w:r w:rsidRPr="00C52386">
              <w:rPr>
                <w:rFonts w:ascii="Calibri" w:eastAsia="Times New Roman" w:hAnsi="Calibri" w:cs="Calibri"/>
                <w:color w:val="0D0D0D"/>
                <w:kern w:val="0"/>
                <w:sz w:val="20"/>
                <w:szCs w:val="20"/>
                <w:lang w:val="fr-FR" w:eastAsia="fr-FR"/>
                <w14:ligatures w14:val="none"/>
              </w:rPr>
              <w:t>, Ministry of Finance</w:t>
            </w:r>
          </w:p>
        </w:tc>
        <w:tc>
          <w:tcPr>
            <w:tcW w:w="0" w:type="auto"/>
            <w:hideMark/>
          </w:tcPr>
          <w:p w14:paraId="465D6AC7"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r w:rsidRPr="00C52386">
              <w:rPr>
                <w:rFonts w:ascii="Calibri" w:eastAsia="Times New Roman" w:hAnsi="Calibri" w:cs="Calibri"/>
                <w:color w:val="0D0D0D"/>
                <w:kern w:val="0"/>
                <w:sz w:val="20"/>
                <w:szCs w:val="20"/>
                <w:lang w:val="fr-FR" w:eastAsia="fr-FR"/>
                <w14:ligatures w14:val="none"/>
              </w:rPr>
              <w:t xml:space="preserve">By SOE, profit </w:t>
            </w:r>
            <w:proofErr w:type="spellStart"/>
            <w:r w:rsidRPr="00C52386">
              <w:rPr>
                <w:rFonts w:ascii="Calibri" w:eastAsia="Times New Roman" w:hAnsi="Calibri" w:cs="Calibri"/>
                <w:color w:val="0D0D0D"/>
                <w:kern w:val="0"/>
                <w:sz w:val="20"/>
                <w:szCs w:val="20"/>
                <w:lang w:val="fr-FR" w:eastAsia="fr-FR"/>
                <w14:ligatures w14:val="none"/>
              </w:rPr>
              <w:t>category</w:t>
            </w:r>
            <w:proofErr w:type="spellEnd"/>
          </w:p>
        </w:tc>
        <w:tc>
          <w:tcPr>
            <w:tcW w:w="0" w:type="auto"/>
            <w:hideMark/>
          </w:tcPr>
          <w:p w14:paraId="08D62A9B"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proofErr w:type="spellStart"/>
            <w:r w:rsidRPr="00C52386">
              <w:rPr>
                <w:rFonts w:ascii="Calibri" w:eastAsia="Times New Roman" w:hAnsi="Calibri" w:cs="Calibri"/>
                <w:color w:val="0D0D0D"/>
                <w:kern w:val="0"/>
                <w:sz w:val="20"/>
                <w:szCs w:val="20"/>
                <w:lang w:val="fr-FR" w:eastAsia="fr-FR"/>
                <w14:ligatures w14:val="none"/>
              </w:rPr>
              <w:t>Annually</w:t>
            </w:r>
            <w:proofErr w:type="spellEnd"/>
          </w:p>
        </w:tc>
        <w:tc>
          <w:tcPr>
            <w:tcW w:w="0" w:type="auto"/>
            <w:hideMark/>
          </w:tcPr>
          <w:p w14:paraId="1B2D2A18"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r w:rsidRPr="00C52386">
              <w:rPr>
                <w:rFonts w:ascii="Calibri" w:eastAsia="Times New Roman" w:hAnsi="Calibri" w:cs="Calibri"/>
                <w:color w:val="0D0D0D"/>
                <w:kern w:val="0"/>
                <w:sz w:val="20"/>
                <w:szCs w:val="20"/>
                <w:lang w:val="fr-FR" w:eastAsia="fr-FR"/>
                <w14:ligatures w14:val="none"/>
              </w:rPr>
              <w:t>CSV, HTML</w:t>
            </w:r>
          </w:p>
        </w:tc>
        <w:tc>
          <w:tcPr>
            <w:tcW w:w="0" w:type="auto"/>
            <w:hideMark/>
          </w:tcPr>
          <w:p w14:paraId="2EB48D86" w14:textId="3511FE94" w:rsidR="0029062F" w:rsidRPr="00C52386" w:rsidRDefault="00F27FE9" w:rsidP="0029062F">
            <w:pPr>
              <w:spacing w:after="160" w:line="278" w:lineRule="auto"/>
              <w:rPr>
                <w:rFonts w:ascii="Calibri" w:eastAsia="Times New Roman" w:hAnsi="Calibri" w:cs="Calibri"/>
                <w:color w:val="0D0D0D"/>
                <w:kern w:val="0"/>
                <w:sz w:val="20"/>
                <w:szCs w:val="20"/>
                <w:lang w:eastAsia="fr-FR"/>
                <w14:ligatures w14:val="none"/>
              </w:rPr>
            </w:pPr>
            <w:r w:rsidRPr="00F27FE9">
              <w:rPr>
                <w:rFonts w:ascii="Calibri" w:eastAsia="Times New Roman" w:hAnsi="Calibri" w:cs="Calibri"/>
                <w:color w:val="0D0D0D"/>
                <w:kern w:val="0"/>
                <w:sz w:val="20"/>
                <w:szCs w:val="20"/>
                <w:lang w:eastAsia="fr-FR"/>
                <w14:ligatures w14:val="none"/>
              </w:rPr>
              <w:t>NRTC</w:t>
            </w:r>
            <w:r w:rsidR="0029062F" w:rsidRPr="00C52386">
              <w:rPr>
                <w:rFonts w:ascii="Calibri" w:eastAsia="Times New Roman" w:hAnsi="Calibri" w:cs="Calibri"/>
                <w:color w:val="0D0D0D"/>
                <w:kern w:val="0"/>
                <w:sz w:val="20"/>
                <w:szCs w:val="20"/>
                <w:lang w:eastAsia="fr-FR"/>
                <w14:ligatures w14:val="none"/>
              </w:rPr>
              <w:t xml:space="preserve"> Iraq portal, Ministry of Finance website</w:t>
            </w:r>
          </w:p>
        </w:tc>
      </w:tr>
      <w:tr w:rsidR="008A66B2" w:rsidRPr="0029062F" w14:paraId="084DEF9D" w14:textId="77777777" w:rsidTr="00C52386">
        <w:tc>
          <w:tcPr>
            <w:tcW w:w="0" w:type="auto"/>
            <w:hideMark/>
          </w:tcPr>
          <w:p w14:paraId="7F67631D"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r w:rsidRPr="00C52386">
              <w:rPr>
                <w:rFonts w:ascii="Calibri" w:eastAsia="Times New Roman" w:hAnsi="Calibri" w:cs="Calibri"/>
                <w:b/>
                <w:bCs/>
                <w:color w:val="0D0D0D"/>
                <w:kern w:val="0"/>
                <w:sz w:val="20"/>
                <w:szCs w:val="20"/>
                <w:lang w:val="fr-FR" w:eastAsia="fr-FR"/>
                <w14:ligatures w14:val="none"/>
              </w:rPr>
              <w:t xml:space="preserve">SOE Financial </w:t>
            </w:r>
            <w:proofErr w:type="spellStart"/>
            <w:r w:rsidRPr="00C52386">
              <w:rPr>
                <w:rFonts w:ascii="Calibri" w:eastAsia="Times New Roman" w:hAnsi="Calibri" w:cs="Calibri"/>
                <w:b/>
                <w:bCs/>
                <w:color w:val="0D0D0D"/>
                <w:kern w:val="0"/>
                <w:sz w:val="20"/>
                <w:szCs w:val="20"/>
                <w:lang w:val="fr-FR" w:eastAsia="fr-FR"/>
                <w14:ligatures w14:val="none"/>
              </w:rPr>
              <w:t>Statements</w:t>
            </w:r>
            <w:proofErr w:type="spellEnd"/>
          </w:p>
        </w:tc>
        <w:tc>
          <w:tcPr>
            <w:tcW w:w="0" w:type="auto"/>
            <w:hideMark/>
          </w:tcPr>
          <w:p w14:paraId="3C5240C1"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r w:rsidRPr="00C52386">
              <w:rPr>
                <w:rFonts w:ascii="Calibri" w:eastAsia="Times New Roman" w:hAnsi="Calibri" w:cs="Calibri"/>
                <w:color w:val="0D0D0D"/>
                <w:kern w:val="0"/>
                <w:sz w:val="20"/>
                <w:szCs w:val="20"/>
                <w:lang w:eastAsia="fr-FR"/>
                <w14:ligatures w14:val="none"/>
              </w:rPr>
              <w:t xml:space="preserve">Audited financial statements or at minimum balance sheet, income statement, and cash flow. </w:t>
            </w:r>
            <w:r w:rsidRPr="00C52386">
              <w:rPr>
                <w:rFonts w:ascii="Calibri" w:eastAsia="Times New Roman" w:hAnsi="Calibri" w:cs="Calibri"/>
                <w:color w:val="0D0D0D"/>
                <w:kern w:val="0"/>
                <w:sz w:val="20"/>
                <w:szCs w:val="20"/>
                <w:lang w:val="fr-FR" w:eastAsia="fr-FR"/>
                <w14:ligatures w14:val="none"/>
              </w:rPr>
              <w:t xml:space="preserve">If audit </w:t>
            </w:r>
            <w:proofErr w:type="spellStart"/>
            <w:r w:rsidRPr="00C52386">
              <w:rPr>
                <w:rFonts w:ascii="Calibri" w:eastAsia="Times New Roman" w:hAnsi="Calibri" w:cs="Calibri"/>
                <w:color w:val="0D0D0D"/>
                <w:kern w:val="0"/>
                <w:sz w:val="20"/>
                <w:szCs w:val="20"/>
                <w:lang w:val="fr-FR" w:eastAsia="fr-FR"/>
                <w14:ligatures w14:val="none"/>
              </w:rPr>
              <w:t>is</w:t>
            </w:r>
            <w:proofErr w:type="spellEnd"/>
            <w:r w:rsidRPr="00C52386">
              <w:rPr>
                <w:rFonts w:ascii="Calibri" w:eastAsia="Times New Roman" w:hAnsi="Calibri" w:cs="Calibri"/>
                <w:color w:val="0D0D0D"/>
                <w:kern w:val="0"/>
                <w:sz w:val="20"/>
                <w:szCs w:val="20"/>
                <w:lang w:val="fr-FR" w:eastAsia="fr-FR"/>
                <w14:ligatures w14:val="none"/>
              </w:rPr>
              <w:t xml:space="preserve"> </w:t>
            </w:r>
            <w:proofErr w:type="spellStart"/>
            <w:r w:rsidRPr="00C52386">
              <w:rPr>
                <w:rFonts w:ascii="Calibri" w:eastAsia="Times New Roman" w:hAnsi="Calibri" w:cs="Calibri"/>
                <w:color w:val="0D0D0D"/>
                <w:kern w:val="0"/>
                <w:sz w:val="20"/>
                <w:szCs w:val="20"/>
                <w:lang w:val="fr-FR" w:eastAsia="fr-FR"/>
                <w14:ligatures w14:val="none"/>
              </w:rPr>
              <w:t>delayed</w:t>
            </w:r>
            <w:proofErr w:type="spellEnd"/>
            <w:r w:rsidRPr="00C52386">
              <w:rPr>
                <w:rFonts w:ascii="Calibri" w:eastAsia="Times New Roman" w:hAnsi="Calibri" w:cs="Calibri"/>
                <w:color w:val="0D0D0D"/>
                <w:kern w:val="0"/>
                <w:sz w:val="20"/>
                <w:szCs w:val="20"/>
                <w:lang w:val="fr-FR" w:eastAsia="fr-FR"/>
                <w14:ligatures w14:val="none"/>
              </w:rPr>
              <w:t xml:space="preserve">, </w:t>
            </w:r>
            <w:proofErr w:type="spellStart"/>
            <w:r w:rsidRPr="00C52386">
              <w:rPr>
                <w:rFonts w:ascii="Calibri" w:eastAsia="Times New Roman" w:hAnsi="Calibri" w:cs="Calibri"/>
                <w:color w:val="0D0D0D"/>
                <w:kern w:val="0"/>
                <w:sz w:val="20"/>
                <w:szCs w:val="20"/>
                <w:lang w:val="fr-FR" w:eastAsia="fr-FR"/>
                <w14:ligatures w14:val="none"/>
              </w:rPr>
              <w:t>reasons</w:t>
            </w:r>
            <w:proofErr w:type="spellEnd"/>
            <w:r w:rsidRPr="00C52386">
              <w:rPr>
                <w:rFonts w:ascii="Calibri" w:eastAsia="Times New Roman" w:hAnsi="Calibri" w:cs="Calibri"/>
                <w:color w:val="0D0D0D"/>
                <w:kern w:val="0"/>
                <w:sz w:val="20"/>
                <w:szCs w:val="20"/>
                <w:lang w:val="fr-FR" w:eastAsia="fr-FR"/>
                <w14:ligatures w14:val="none"/>
              </w:rPr>
              <w:t xml:space="preserve"> must </w:t>
            </w:r>
            <w:proofErr w:type="spellStart"/>
            <w:r w:rsidRPr="00C52386">
              <w:rPr>
                <w:rFonts w:ascii="Calibri" w:eastAsia="Times New Roman" w:hAnsi="Calibri" w:cs="Calibri"/>
                <w:color w:val="0D0D0D"/>
                <w:kern w:val="0"/>
                <w:sz w:val="20"/>
                <w:szCs w:val="20"/>
                <w:lang w:val="fr-FR" w:eastAsia="fr-FR"/>
                <w14:ligatures w14:val="none"/>
              </w:rPr>
              <w:t>be</w:t>
            </w:r>
            <w:proofErr w:type="spellEnd"/>
            <w:r w:rsidRPr="00C52386">
              <w:rPr>
                <w:rFonts w:ascii="Calibri" w:eastAsia="Times New Roman" w:hAnsi="Calibri" w:cs="Calibri"/>
                <w:color w:val="0D0D0D"/>
                <w:kern w:val="0"/>
                <w:sz w:val="20"/>
                <w:szCs w:val="20"/>
                <w:lang w:val="fr-FR" w:eastAsia="fr-FR"/>
                <w14:ligatures w14:val="none"/>
              </w:rPr>
              <w:t xml:space="preserve"> </w:t>
            </w:r>
            <w:proofErr w:type="spellStart"/>
            <w:r w:rsidRPr="00C52386">
              <w:rPr>
                <w:rFonts w:ascii="Calibri" w:eastAsia="Times New Roman" w:hAnsi="Calibri" w:cs="Calibri"/>
                <w:color w:val="0D0D0D"/>
                <w:kern w:val="0"/>
                <w:sz w:val="20"/>
                <w:szCs w:val="20"/>
                <w:lang w:val="fr-FR" w:eastAsia="fr-FR"/>
                <w14:ligatures w14:val="none"/>
              </w:rPr>
              <w:t>disclosed</w:t>
            </w:r>
            <w:proofErr w:type="spellEnd"/>
            <w:r w:rsidRPr="00C52386">
              <w:rPr>
                <w:rFonts w:ascii="Calibri" w:eastAsia="Times New Roman" w:hAnsi="Calibri" w:cs="Calibri"/>
                <w:color w:val="0D0D0D"/>
                <w:kern w:val="0"/>
                <w:sz w:val="20"/>
                <w:szCs w:val="20"/>
                <w:lang w:val="fr-FR" w:eastAsia="fr-FR"/>
                <w14:ligatures w14:val="none"/>
              </w:rPr>
              <w:t>.</w:t>
            </w:r>
          </w:p>
        </w:tc>
        <w:tc>
          <w:tcPr>
            <w:tcW w:w="0" w:type="auto"/>
            <w:hideMark/>
          </w:tcPr>
          <w:p w14:paraId="3A8AF146"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proofErr w:type="spellStart"/>
            <w:r w:rsidRPr="00C52386">
              <w:rPr>
                <w:rFonts w:ascii="Calibri" w:eastAsia="Times New Roman" w:hAnsi="Calibri" w:cs="Calibri"/>
                <w:color w:val="0D0D0D"/>
                <w:kern w:val="0"/>
                <w:sz w:val="20"/>
                <w:szCs w:val="20"/>
                <w:lang w:val="fr-FR" w:eastAsia="fr-FR"/>
                <w14:ligatures w14:val="none"/>
              </w:rPr>
              <w:t>SOEs</w:t>
            </w:r>
            <w:proofErr w:type="spellEnd"/>
          </w:p>
        </w:tc>
        <w:tc>
          <w:tcPr>
            <w:tcW w:w="0" w:type="auto"/>
            <w:hideMark/>
          </w:tcPr>
          <w:p w14:paraId="7F56D701"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r w:rsidRPr="00C52386">
              <w:rPr>
                <w:rFonts w:ascii="Calibri" w:eastAsia="Times New Roman" w:hAnsi="Calibri" w:cs="Calibri"/>
                <w:color w:val="0D0D0D"/>
                <w:kern w:val="0"/>
                <w:sz w:val="20"/>
                <w:szCs w:val="20"/>
                <w:lang w:val="fr-FR" w:eastAsia="fr-FR"/>
                <w14:ligatures w14:val="none"/>
              </w:rPr>
              <w:t>By SOE</w:t>
            </w:r>
          </w:p>
        </w:tc>
        <w:tc>
          <w:tcPr>
            <w:tcW w:w="0" w:type="auto"/>
            <w:hideMark/>
          </w:tcPr>
          <w:p w14:paraId="418333A1"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proofErr w:type="spellStart"/>
            <w:r w:rsidRPr="00C52386">
              <w:rPr>
                <w:rFonts w:ascii="Calibri" w:eastAsia="Times New Roman" w:hAnsi="Calibri" w:cs="Calibri"/>
                <w:color w:val="0D0D0D"/>
                <w:kern w:val="0"/>
                <w:sz w:val="20"/>
                <w:szCs w:val="20"/>
                <w:lang w:val="fr-FR" w:eastAsia="fr-FR"/>
                <w14:ligatures w14:val="none"/>
              </w:rPr>
              <w:t>Annually</w:t>
            </w:r>
            <w:proofErr w:type="spellEnd"/>
          </w:p>
        </w:tc>
        <w:tc>
          <w:tcPr>
            <w:tcW w:w="0" w:type="auto"/>
            <w:hideMark/>
          </w:tcPr>
          <w:p w14:paraId="6160817A"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r w:rsidRPr="00C52386">
              <w:rPr>
                <w:rFonts w:ascii="Calibri" w:eastAsia="Times New Roman" w:hAnsi="Calibri" w:cs="Calibri"/>
                <w:color w:val="0D0D0D"/>
                <w:kern w:val="0"/>
                <w:sz w:val="20"/>
                <w:szCs w:val="20"/>
                <w:lang w:val="fr-FR" w:eastAsia="fr-FR"/>
                <w14:ligatures w14:val="none"/>
              </w:rPr>
              <w:t xml:space="preserve">CSV, PDF (audit note </w:t>
            </w:r>
            <w:proofErr w:type="spellStart"/>
            <w:r w:rsidRPr="00C52386">
              <w:rPr>
                <w:rFonts w:ascii="Calibri" w:eastAsia="Times New Roman" w:hAnsi="Calibri" w:cs="Calibri"/>
                <w:color w:val="0D0D0D"/>
                <w:kern w:val="0"/>
                <w:sz w:val="20"/>
                <w:szCs w:val="20"/>
                <w:lang w:val="fr-FR" w:eastAsia="fr-FR"/>
                <w14:ligatures w14:val="none"/>
              </w:rPr>
              <w:t>optional</w:t>
            </w:r>
            <w:proofErr w:type="spellEnd"/>
            <w:r w:rsidRPr="00C52386">
              <w:rPr>
                <w:rFonts w:ascii="Calibri" w:eastAsia="Times New Roman" w:hAnsi="Calibri" w:cs="Calibri"/>
                <w:color w:val="0D0D0D"/>
                <w:kern w:val="0"/>
                <w:sz w:val="20"/>
                <w:szCs w:val="20"/>
                <w:lang w:val="fr-FR" w:eastAsia="fr-FR"/>
                <w14:ligatures w14:val="none"/>
              </w:rPr>
              <w:t>)</w:t>
            </w:r>
          </w:p>
        </w:tc>
        <w:tc>
          <w:tcPr>
            <w:tcW w:w="0" w:type="auto"/>
            <w:hideMark/>
          </w:tcPr>
          <w:p w14:paraId="4E5404EE" w14:textId="17DA33AA"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r w:rsidRPr="00C52386">
              <w:rPr>
                <w:rFonts w:ascii="Calibri" w:eastAsia="Times New Roman" w:hAnsi="Calibri" w:cs="Calibri"/>
                <w:color w:val="0D0D0D"/>
                <w:kern w:val="0"/>
                <w:sz w:val="20"/>
                <w:szCs w:val="20"/>
                <w:lang w:val="fr-FR" w:eastAsia="fr-FR"/>
                <w14:ligatures w14:val="none"/>
              </w:rPr>
              <w:t xml:space="preserve">SOE </w:t>
            </w:r>
            <w:proofErr w:type="spellStart"/>
            <w:r w:rsidRPr="00C52386">
              <w:rPr>
                <w:rFonts w:ascii="Calibri" w:eastAsia="Times New Roman" w:hAnsi="Calibri" w:cs="Calibri"/>
                <w:color w:val="0D0D0D"/>
                <w:kern w:val="0"/>
                <w:sz w:val="20"/>
                <w:szCs w:val="20"/>
                <w:lang w:val="fr-FR" w:eastAsia="fr-FR"/>
                <w14:ligatures w14:val="none"/>
              </w:rPr>
              <w:t>websites</w:t>
            </w:r>
            <w:proofErr w:type="spellEnd"/>
            <w:r w:rsidRPr="00C52386">
              <w:rPr>
                <w:rFonts w:ascii="Calibri" w:eastAsia="Times New Roman" w:hAnsi="Calibri" w:cs="Calibri"/>
                <w:color w:val="0D0D0D"/>
                <w:kern w:val="0"/>
                <w:sz w:val="20"/>
                <w:szCs w:val="20"/>
                <w:lang w:val="fr-FR" w:eastAsia="fr-FR"/>
                <w14:ligatures w14:val="none"/>
              </w:rPr>
              <w:t xml:space="preserve">, </w:t>
            </w:r>
            <w:r w:rsidR="00F27FE9" w:rsidRPr="00F27FE9">
              <w:rPr>
                <w:rFonts w:ascii="Calibri" w:eastAsia="Times New Roman" w:hAnsi="Calibri" w:cs="Calibri"/>
                <w:color w:val="0D0D0D"/>
                <w:kern w:val="0"/>
                <w:sz w:val="20"/>
                <w:szCs w:val="20"/>
                <w:lang w:val="fr-FR" w:eastAsia="fr-FR"/>
                <w14:ligatures w14:val="none"/>
              </w:rPr>
              <w:t>NRTC</w:t>
            </w:r>
            <w:r w:rsidRPr="00C52386">
              <w:rPr>
                <w:rFonts w:ascii="Calibri" w:eastAsia="Times New Roman" w:hAnsi="Calibri" w:cs="Calibri"/>
                <w:color w:val="0D0D0D"/>
                <w:kern w:val="0"/>
                <w:sz w:val="20"/>
                <w:szCs w:val="20"/>
                <w:lang w:val="fr-FR" w:eastAsia="fr-FR"/>
                <w14:ligatures w14:val="none"/>
              </w:rPr>
              <w:t xml:space="preserve"> Iraq portal</w:t>
            </w:r>
          </w:p>
        </w:tc>
      </w:tr>
      <w:tr w:rsidR="008A66B2" w:rsidRPr="0029062F" w14:paraId="0C41C44E" w14:textId="77777777" w:rsidTr="00C52386">
        <w:tc>
          <w:tcPr>
            <w:tcW w:w="0" w:type="auto"/>
            <w:hideMark/>
          </w:tcPr>
          <w:p w14:paraId="30EE02A6" w14:textId="77777777" w:rsidR="0029062F" w:rsidRPr="00C52386" w:rsidRDefault="0029062F" w:rsidP="0029062F">
            <w:pPr>
              <w:spacing w:after="160" w:line="278" w:lineRule="auto"/>
              <w:rPr>
                <w:rFonts w:ascii="Calibri" w:eastAsia="Times New Roman" w:hAnsi="Calibri" w:cs="Calibri"/>
                <w:color w:val="0D0D0D"/>
                <w:kern w:val="0"/>
                <w:sz w:val="20"/>
                <w:szCs w:val="20"/>
                <w:lang w:eastAsia="fr-FR"/>
                <w14:ligatures w14:val="none"/>
              </w:rPr>
            </w:pPr>
            <w:r w:rsidRPr="00C52386">
              <w:rPr>
                <w:rFonts w:ascii="Calibri" w:eastAsia="Times New Roman" w:hAnsi="Calibri" w:cs="Calibri"/>
                <w:b/>
                <w:bCs/>
                <w:color w:val="0D0D0D"/>
                <w:kern w:val="0"/>
                <w:sz w:val="20"/>
                <w:szCs w:val="20"/>
                <w:lang w:eastAsia="fr-FR"/>
                <w14:ligatures w14:val="none"/>
              </w:rPr>
              <w:t>SOE Accounts vs. Budgets (with audit note)</w:t>
            </w:r>
          </w:p>
        </w:tc>
        <w:tc>
          <w:tcPr>
            <w:tcW w:w="0" w:type="auto"/>
            <w:hideMark/>
          </w:tcPr>
          <w:p w14:paraId="35E85F04" w14:textId="77777777" w:rsidR="0029062F" w:rsidRPr="00C52386" w:rsidRDefault="0029062F" w:rsidP="0029062F">
            <w:pPr>
              <w:spacing w:after="160" w:line="278" w:lineRule="auto"/>
              <w:rPr>
                <w:rFonts w:ascii="Calibri" w:eastAsia="Times New Roman" w:hAnsi="Calibri" w:cs="Calibri"/>
                <w:color w:val="0D0D0D"/>
                <w:kern w:val="0"/>
                <w:sz w:val="20"/>
                <w:szCs w:val="20"/>
                <w:lang w:eastAsia="fr-FR"/>
                <w14:ligatures w14:val="none"/>
              </w:rPr>
            </w:pPr>
            <w:r w:rsidRPr="00C52386">
              <w:rPr>
                <w:rFonts w:ascii="Calibri" w:eastAsia="Times New Roman" w:hAnsi="Calibri" w:cs="Calibri"/>
                <w:color w:val="0D0D0D"/>
                <w:kern w:val="0"/>
                <w:sz w:val="20"/>
                <w:szCs w:val="20"/>
                <w:lang w:eastAsia="fr-FR"/>
                <w14:ligatures w14:val="none"/>
              </w:rPr>
              <w:t>Quarterly budget execution with note on audit status if FBSA approval is pending.</w:t>
            </w:r>
          </w:p>
        </w:tc>
        <w:tc>
          <w:tcPr>
            <w:tcW w:w="0" w:type="auto"/>
            <w:hideMark/>
          </w:tcPr>
          <w:p w14:paraId="2E91E596"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proofErr w:type="spellStart"/>
            <w:r w:rsidRPr="00C52386">
              <w:rPr>
                <w:rFonts w:ascii="Calibri" w:eastAsia="Times New Roman" w:hAnsi="Calibri" w:cs="Calibri"/>
                <w:color w:val="0D0D0D"/>
                <w:kern w:val="0"/>
                <w:sz w:val="20"/>
                <w:szCs w:val="20"/>
                <w:lang w:val="fr-FR" w:eastAsia="fr-FR"/>
                <w14:ligatures w14:val="none"/>
              </w:rPr>
              <w:t>SOEs</w:t>
            </w:r>
            <w:proofErr w:type="spellEnd"/>
          </w:p>
        </w:tc>
        <w:tc>
          <w:tcPr>
            <w:tcW w:w="0" w:type="auto"/>
            <w:hideMark/>
          </w:tcPr>
          <w:p w14:paraId="2E2169C2"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r w:rsidRPr="00C52386">
              <w:rPr>
                <w:rFonts w:ascii="Calibri" w:eastAsia="Times New Roman" w:hAnsi="Calibri" w:cs="Calibri"/>
                <w:color w:val="0D0D0D"/>
                <w:kern w:val="0"/>
                <w:sz w:val="20"/>
                <w:szCs w:val="20"/>
                <w:lang w:val="fr-FR" w:eastAsia="fr-FR"/>
                <w14:ligatures w14:val="none"/>
              </w:rPr>
              <w:t>By SOE</w:t>
            </w:r>
          </w:p>
        </w:tc>
        <w:tc>
          <w:tcPr>
            <w:tcW w:w="0" w:type="auto"/>
            <w:hideMark/>
          </w:tcPr>
          <w:p w14:paraId="52E30F24"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proofErr w:type="spellStart"/>
            <w:r w:rsidRPr="00C52386">
              <w:rPr>
                <w:rFonts w:ascii="Calibri" w:eastAsia="Times New Roman" w:hAnsi="Calibri" w:cs="Calibri"/>
                <w:color w:val="0D0D0D"/>
                <w:kern w:val="0"/>
                <w:sz w:val="20"/>
                <w:szCs w:val="20"/>
                <w:lang w:val="fr-FR" w:eastAsia="fr-FR"/>
                <w14:ligatures w14:val="none"/>
              </w:rPr>
              <w:t>Quarterly</w:t>
            </w:r>
            <w:proofErr w:type="spellEnd"/>
          </w:p>
        </w:tc>
        <w:tc>
          <w:tcPr>
            <w:tcW w:w="0" w:type="auto"/>
            <w:hideMark/>
          </w:tcPr>
          <w:p w14:paraId="6BC8C5D9"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r w:rsidRPr="00C52386">
              <w:rPr>
                <w:rFonts w:ascii="Calibri" w:eastAsia="Times New Roman" w:hAnsi="Calibri" w:cs="Calibri"/>
                <w:color w:val="0D0D0D"/>
                <w:kern w:val="0"/>
                <w:sz w:val="20"/>
                <w:szCs w:val="20"/>
                <w:lang w:val="fr-FR" w:eastAsia="fr-FR"/>
                <w14:ligatures w14:val="none"/>
              </w:rPr>
              <w:t xml:space="preserve">CSV, HTML (PDF </w:t>
            </w:r>
            <w:proofErr w:type="spellStart"/>
            <w:r w:rsidRPr="00C52386">
              <w:rPr>
                <w:rFonts w:ascii="Calibri" w:eastAsia="Times New Roman" w:hAnsi="Calibri" w:cs="Calibri"/>
                <w:color w:val="0D0D0D"/>
                <w:kern w:val="0"/>
                <w:sz w:val="20"/>
                <w:szCs w:val="20"/>
                <w:lang w:val="fr-FR" w:eastAsia="fr-FR"/>
                <w14:ligatures w14:val="none"/>
              </w:rPr>
              <w:t>optional</w:t>
            </w:r>
            <w:proofErr w:type="spellEnd"/>
            <w:r w:rsidRPr="00C52386">
              <w:rPr>
                <w:rFonts w:ascii="Calibri" w:eastAsia="Times New Roman" w:hAnsi="Calibri" w:cs="Calibri"/>
                <w:color w:val="0D0D0D"/>
                <w:kern w:val="0"/>
                <w:sz w:val="20"/>
                <w:szCs w:val="20"/>
                <w:lang w:val="fr-FR" w:eastAsia="fr-FR"/>
                <w14:ligatures w14:val="none"/>
              </w:rPr>
              <w:t>)</w:t>
            </w:r>
          </w:p>
        </w:tc>
        <w:tc>
          <w:tcPr>
            <w:tcW w:w="0" w:type="auto"/>
            <w:hideMark/>
          </w:tcPr>
          <w:p w14:paraId="105AF3A5" w14:textId="6BB2E4C0"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r w:rsidRPr="00C52386">
              <w:rPr>
                <w:rFonts w:ascii="Calibri" w:eastAsia="Times New Roman" w:hAnsi="Calibri" w:cs="Calibri"/>
                <w:color w:val="0D0D0D"/>
                <w:kern w:val="0"/>
                <w:sz w:val="20"/>
                <w:szCs w:val="20"/>
                <w:lang w:val="fr-FR" w:eastAsia="fr-FR"/>
                <w14:ligatures w14:val="none"/>
              </w:rPr>
              <w:t xml:space="preserve">SOE </w:t>
            </w:r>
            <w:proofErr w:type="spellStart"/>
            <w:r w:rsidRPr="00C52386">
              <w:rPr>
                <w:rFonts w:ascii="Calibri" w:eastAsia="Times New Roman" w:hAnsi="Calibri" w:cs="Calibri"/>
                <w:color w:val="0D0D0D"/>
                <w:kern w:val="0"/>
                <w:sz w:val="20"/>
                <w:szCs w:val="20"/>
                <w:lang w:val="fr-FR" w:eastAsia="fr-FR"/>
                <w14:ligatures w14:val="none"/>
              </w:rPr>
              <w:t>websites</w:t>
            </w:r>
            <w:proofErr w:type="spellEnd"/>
            <w:r w:rsidRPr="00C52386">
              <w:rPr>
                <w:rFonts w:ascii="Calibri" w:eastAsia="Times New Roman" w:hAnsi="Calibri" w:cs="Calibri"/>
                <w:color w:val="0D0D0D"/>
                <w:kern w:val="0"/>
                <w:sz w:val="20"/>
                <w:szCs w:val="20"/>
                <w:lang w:val="fr-FR" w:eastAsia="fr-FR"/>
                <w14:ligatures w14:val="none"/>
              </w:rPr>
              <w:t xml:space="preserve">, </w:t>
            </w:r>
            <w:r w:rsidR="00F27FE9" w:rsidRPr="00F27FE9">
              <w:rPr>
                <w:rFonts w:ascii="Calibri" w:eastAsia="Times New Roman" w:hAnsi="Calibri" w:cs="Calibri"/>
                <w:color w:val="0D0D0D"/>
                <w:kern w:val="0"/>
                <w:sz w:val="20"/>
                <w:szCs w:val="20"/>
                <w:lang w:val="fr-FR" w:eastAsia="fr-FR"/>
                <w14:ligatures w14:val="none"/>
              </w:rPr>
              <w:t>NRTC</w:t>
            </w:r>
            <w:r w:rsidRPr="00C52386">
              <w:rPr>
                <w:rFonts w:ascii="Calibri" w:eastAsia="Times New Roman" w:hAnsi="Calibri" w:cs="Calibri"/>
                <w:color w:val="0D0D0D"/>
                <w:kern w:val="0"/>
                <w:sz w:val="20"/>
                <w:szCs w:val="20"/>
                <w:lang w:val="fr-FR" w:eastAsia="fr-FR"/>
                <w14:ligatures w14:val="none"/>
              </w:rPr>
              <w:t xml:space="preserve"> Iraq portal</w:t>
            </w:r>
          </w:p>
        </w:tc>
      </w:tr>
      <w:tr w:rsidR="008A66B2" w:rsidRPr="0029062F" w14:paraId="6EB8D0DB" w14:textId="77777777" w:rsidTr="00C52386">
        <w:tc>
          <w:tcPr>
            <w:tcW w:w="0" w:type="auto"/>
            <w:hideMark/>
          </w:tcPr>
          <w:p w14:paraId="5214A320"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r w:rsidRPr="00C52386">
              <w:rPr>
                <w:rFonts w:ascii="Calibri" w:eastAsia="Times New Roman" w:hAnsi="Calibri" w:cs="Calibri"/>
                <w:b/>
                <w:bCs/>
                <w:color w:val="0D0D0D"/>
                <w:kern w:val="0"/>
                <w:sz w:val="20"/>
                <w:szCs w:val="20"/>
                <w:lang w:val="fr-FR" w:eastAsia="fr-FR"/>
                <w14:ligatures w14:val="none"/>
              </w:rPr>
              <w:t xml:space="preserve">SOE </w:t>
            </w:r>
            <w:proofErr w:type="spellStart"/>
            <w:r w:rsidRPr="00C52386">
              <w:rPr>
                <w:rFonts w:ascii="Calibri" w:eastAsia="Times New Roman" w:hAnsi="Calibri" w:cs="Calibri"/>
                <w:b/>
                <w:bCs/>
                <w:color w:val="0D0D0D"/>
                <w:kern w:val="0"/>
                <w:sz w:val="20"/>
                <w:szCs w:val="20"/>
                <w:lang w:val="fr-FR" w:eastAsia="fr-FR"/>
                <w14:ligatures w14:val="none"/>
              </w:rPr>
              <w:t>Governance</w:t>
            </w:r>
            <w:proofErr w:type="spellEnd"/>
            <w:r w:rsidRPr="00C52386">
              <w:rPr>
                <w:rFonts w:ascii="Calibri" w:eastAsia="Times New Roman" w:hAnsi="Calibri" w:cs="Calibri"/>
                <w:b/>
                <w:bCs/>
                <w:color w:val="0D0D0D"/>
                <w:kern w:val="0"/>
                <w:sz w:val="20"/>
                <w:szCs w:val="20"/>
                <w:lang w:val="fr-FR" w:eastAsia="fr-FR"/>
                <w14:ligatures w14:val="none"/>
              </w:rPr>
              <w:t xml:space="preserve"> &amp; Corporate Practices</w:t>
            </w:r>
          </w:p>
        </w:tc>
        <w:tc>
          <w:tcPr>
            <w:tcW w:w="0" w:type="auto"/>
            <w:hideMark/>
          </w:tcPr>
          <w:p w14:paraId="7CC2E4B4" w14:textId="77777777" w:rsidR="0029062F" w:rsidRPr="00C52386" w:rsidRDefault="0029062F" w:rsidP="0029062F">
            <w:pPr>
              <w:spacing w:after="160" w:line="278" w:lineRule="auto"/>
              <w:rPr>
                <w:rFonts w:ascii="Calibri" w:eastAsia="Times New Roman" w:hAnsi="Calibri" w:cs="Calibri"/>
                <w:color w:val="0D0D0D"/>
                <w:kern w:val="0"/>
                <w:sz w:val="20"/>
                <w:szCs w:val="20"/>
                <w:lang w:eastAsia="fr-FR"/>
                <w14:ligatures w14:val="none"/>
              </w:rPr>
            </w:pPr>
            <w:r w:rsidRPr="00C52386">
              <w:rPr>
                <w:rFonts w:ascii="Calibri" w:eastAsia="Times New Roman" w:hAnsi="Calibri" w:cs="Calibri"/>
                <w:color w:val="0D0D0D"/>
                <w:kern w:val="0"/>
                <w:sz w:val="20"/>
                <w:szCs w:val="20"/>
                <w:lang w:eastAsia="fr-FR"/>
                <w14:ligatures w14:val="none"/>
              </w:rPr>
              <w:t>Policies on SOE governance, procurement, subcontracting, board composition and appointments, anti-corruption and codes of conduct.</w:t>
            </w:r>
          </w:p>
        </w:tc>
        <w:tc>
          <w:tcPr>
            <w:tcW w:w="0" w:type="auto"/>
            <w:hideMark/>
          </w:tcPr>
          <w:p w14:paraId="5BCCC4AD"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proofErr w:type="spellStart"/>
            <w:r w:rsidRPr="00C52386">
              <w:rPr>
                <w:rFonts w:ascii="Calibri" w:eastAsia="Times New Roman" w:hAnsi="Calibri" w:cs="Calibri"/>
                <w:color w:val="0D0D0D"/>
                <w:kern w:val="0"/>
                <w:sz w:val="20"/>
                <w:szCs w:val="20"/>
                <w:lang w:val="fr-FR" w:eastAsia="fr-FR"/>
                <w14:ligatures w14:val="none"/>
              </w:rPr>
              <w:t>SOEs</w:t>
            </w:r>
            <w:proofErr w:type="spellEnd"/>
          </w:p>
        </w:tc>
        <w:tc>
          <w:tcPr>
            <w:tcW w:w="0" w:type="auto"/>
            <w:hideMark/>
          </w:tcPr>
          <w:p w14:paraId="59A20147"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r w:rsidRPr="00C52386">
              <w:rPr>
                <w:rFonts w:ascii="Calibri" w:eastAsia="Times New Roman" w:hAnsi="Calibri" w:cs="Calibri"/>
                <w:color w:val="0D0D0D"/>
                <w:kern w:val="0"/>
                <w:sz w:val="20"/>
                <w:szCs w:val="20"/>
                <w:lang w:val="fr-FR" w:eastAsia="fr-FR"/>
                <w14:ligatures w14:val="none"/>
              </w:rPr>
              <w:t>By SOE</w:t>
            </w:r>
          </w:p>
        </w:tc>
        <w:tc>
          <w:tcPr>
            <w:tcW w:w="0" w:type="auto"/>
            <w:hideMark/>
          </w:tcPr>
          <w:p w14:paraId="3717F83B"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proofErr w:type="spellStart"/>
            <w:r w:rsidRPr="00C52386">
              <w:rPr>
                <w:rFonts w:ascii="Calibri" w:eastAsia="Times New Roman" w:hAnsi="Calibri" w:cs="Calibri"/>
                <w:color w:val="0D0D0D"/>
                <w:kern w:val="0"/>
                <w:sz w:val="20"/>
                <w:szCs w:val="20"/>
                <w:lang w:val="fr-FR" w:eastAsia="fr-FR"/>
                <w14:ligatures w14:val="none"/>
              </w:rPr>
              <w:t>Annually</w:t>
            </w:r>
            <w:proofErr w:type="spellEnd"/>
          </w:p>
        </w:tc>
        <w:tc>
          <w:tcPr>
            <w:tcW w:w="0" w:type="auto"/>
            <w:hideMark/>
          </w:tcPr>
          <w:p w14:paraId="2D9AB771"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r w:rsidRPr="00C52386">
              <w:rPr>
                <w:rFonts w:ascii="Calibri" w:eastAsia="Times New Roman" w:hAnsi="Calibri" w:cs="Calibri"/>
                <w:color w:val="0D0D0D"/>
                <w:kern w:val="0"/>
                <w:sz w:val="20"/>
                <w:szCs w:val="20"/>
                <w:lang w:val="fr-FR" w:eastAsia="fr-FR"/>
                <w14:ligatures w14:val="none"/>
              </w:rPr>
              <w:t xml:space="preserve">HTML, CSV (PDF </w:t>
            </w:r>
            <w:proofErr w:type="spellStart"/>
            <w:r w:rsidRPr="00C52386">
              <w:rPr>
                <w:rFonts w:ascii="Calibri" w:eastAsia="Times New Roman" w:hAnsi="Calibri" w:cs="Calibri"/>
                <w:color w:val="0D0D0D"/>
                <w:kern w:val="0"/>
                <w:sz w:val="20"/>
                <w:szCs w:val="20"/>
                <w:lang w:val="fr-FR" w:eastAsia="fr-FR"/>
                <w14:ligatures w14:val="none"/>
              </w:rPr>
              <w:t>optional</w:t>
            </w:r>
            <w:proofErr w:type="spellEnd"/>
            <w:r w:rsidRPr="00C52386">
              <w:rPr>
                <w:rFonts w:ascii="Calibri" w:eastAsia="Times New Roman" w:hAnsi="Calibri" w:cs="Calibri"/>
                <w:color w:val="0D0D0D"/>
                <w:kern w:val="0"/>
                <w:sz w:val="20"/>
                <w:szCs w:val="20"/>
                <w:lang w:val="fr-FR" w:eastAsia="fr-FR"/>
                <w14:ligatures w14:val="none"/>
              </w:rPr>
              <w:t>)</w:t>
            </w:r>
          </w:p>
        </w:tc>
        <w:tc>
          <w:tcPr>
            <w:tcW w:w="0" w:type="auto"/>
            <w:hideMark/>
          </w:tcPr>
          <w:p w14:paraId="237C32E2" w14:textId="0D9832C2"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r w:rsidRPr="00C52386">
              <w:rPr>
                <w:rFonts w:ascii="Calibri" w:eastAsia="Times New Roman" w:hAnsi="Calibri" w:cs="Calibri"/>
                <w:color w:val="0D0D0D"/>
                <w:kern w:val="0"/>
                <w:sz w:val="20"/>
                <w:szCs w:val="20"/>
                <w:lang w:val="fr-FR" w:eastAsia="fr-FR"/>
                <w14:ligatures w14:val="none"/>
              </w:rPr>
              <w:t xml:space="preserve">SOE </w:t>
            </w:r>
            <w:proofErr w:type="spellStart"/>
            <w:r w:rsidRPr="00C52386">
              <w:rPr>
                <w:rFonts w:ascii="Calibri" w:eastAsia="Times New Roman" w:hAnsi="Calibri" w:cs="Calibri"/>
                <w:color w:val="0D0D0D"/>
                <w:kern w:val="0"/>
                <w:sz w:val="20"/>
                <w:szCs w:val="20"/>
                <w:lang w:val="fr-FR" w:eastAsia="fr-FR"/>
                <w14:ligatures w14:val="none"/>
              </w:rPr>
              <w:t>websites</w:t>
            </w:r>
            <w:proofErr w:type="spellEnd"/>
            <w:r w:rsidRPr="00C52386">
              <w:rPr>
                <w:rFonts w:ascii="Calibri" w:eastAsia="Times New Roman" w:hAnsi="Calibri" w:cs="Calibri"/>
                <w:color w:val="0D0D0D"/>
                <w:kern w:val="0"/>
                <w:sz w:val="20"/>
                <w:szCs w:val="20"/>
                <w:lang w:val="fr-FR" w:eastAsia="fr-FR"/>
                <w14:ligatures w14:val="none"/>
              </w:rPr>
              <w:t xml:space="preserve">, </w:t>
            </w:r>
            <w:r w:rsidR="00F27FE9" w:rsidRPr="00F27FE9">
              <w:rPr>
                <w:rFonts w:ascii="Calibri" w:eastAsia="Times New Roman" w:hAnsi="Calibri" w:cs="Calibri"/>
                <w:color w:val="0D0D0D"/>
                <w:kern w:val="0"/>
                <w:sz w:val="20"/>
                <w:szCs w:val="20"/>
                <w:lang w:val="fr-FR" w:eastAsia="fr-FR"/>
                <w14:ligatures w14:val="none"/>
              </w:rPr>
              <w:t>NRTC</w:t>
            </w:r>
            <w:r w:rsidRPr="00C52386">
              <w:rPr>
                <w:rFonts w:ascii="Calibri" w:eastAsia="Times New Roman" w:hAnsi="Calibri" w:cs="Calibri"/>
                <w:color w:val="0D0D0D"/>
                <w:kern w:val="0"/>
                <w:sz w:val="20"/>
                <w:szCs w:val="20"/>
                <w:lang w:val="fr-FR" w:eastAsia="fr-FR"/>
                <w14:ligatures w14:val="none"/>
              </w:rPr>
              <w:t xml:space="preserve"> Iraq portal</w:t>
            </w:r>
          </w:p>
        </w:tc>
      </w:tr>
      <w:tr w:rsidR="008A66B2" w:rsidRPr="0029062F" w14:paraId="0E2CEB45" w14:textId="77777777" w:rsidTr="00C52386">
        <w:tc>
          <w:tcPr>
            <w:tcW w:w="0" w:type="auto"/>
            <w:hideMark/>
          </w:tcPr>
          <w:p w14:paraId="433149B6" w14:textId="77777777" w:rsidR="0029062F" w:rsidRPr="00C52386" w:rsidRDefault="0029062F" w:rsidP="0029062F">
            <w:pPr>
              <w:spacing w:after="160" w:line="278" w:lineRule="auto"/>
              <w:rPr>
                <w:rFonts w:ascii="Calibri" w:eastAsia="Times New Roman" w:hAnsi="Calibri" w:cs="Calibri"/>
                <w:color w:val="0D0D0D"/>
                <w:kern w:val="0"/>
                <w:sz w:val="20"/>
                <w:szCs w:val="20"/>
                <w:lang w:eastAsia="fr-FR"/>
                <w14:ligatures w14:val="none"/>
              </w:rPr>
            </w:pPr>
            <w:r w:rsidRPr="00C52386">
              <w:rPr>
                <w:rFonts w:ascii="Calibri" w:eastAsia="Times New Roman" w:hAnsi="Calibri" w:cs="Calibri"/>
                <w:b/>
                <w:bCs/>
                <w:color w:val="0D0D0D"/>
                <w:kern w:val="0"/>
                <w:sz w:val="20"/>
                <w:szCs w:val="20"/>
                <w:lang w:eastAsia="fr-FR"/>
                <w14:ligatures w14:val="none"/>
              </w:rPr>
              <w:t>SOE Investment Strategy and Climate Risk Alignment</w:t>
            </w:r>
          </w:p>
        </w:tc>
        <w:tc>
          <w:tcPr>
            <w:tcW w:w="0" w:type="auto"/>
            <w:hideMark/>
          </w:tcPr>
          <w:p w14:paraId="54E5912D" w14:textId="77777777" w:rsidR="0029062F" w:rsidRPr="00C52386" w:rsidRDefault="0029062F" w:rsidP="0029062F">
            <w:pPr>
              <w:spacing w:after="160" w:line="278" w:lineRule="auto"/>
              <w:rPr>
                <w:rFonts w:ascii="Calibri" w:eastAsia="Times New Roman" w:hAnsi="Calibri" w:cs="Calibri"/>
                <w:color w:val="0D0D0D"/>
                <w:kern w:val="0"/>
                <w:sz w:val="20"/>
                <w:szCs w:val="20"/>
                <w:lang w:eastAsia="fr-FR"/>
                <w14:ligatures w14:val="none"/>
              </w:rPr>
            </w:pPr>
            <w:r w:rsidRPr="00C52386">
              <w:rPr>
                <w:rFonts w:ascii="Calibri" w:eastAsia="Times New Roman" w:hAnsi="Calibri" w:cs="Calibri"/>
                <w:color w:val="0D0D0D"/>
                <w:kern w:val="0"/>
                <w:sz w:val="20"/>
                <w:szCs w:val="20"/>
                <w:lang w:eastAsia="fr-FR"/>
                <w14:ligatures w14:val="none"/>
              </w:rPr>
              <w:t>How SOEs align investment strategies with energy transition goals and climate risk considerations.</w:t>
            </w:r>
          </w:p>
        </w:tc>
        <w:tc>
          <w:tcPr>
            <w:tcW w:w="0" w:type="auto"/>
            <w:hideMark/>
          </w:tcPr>
          <w:p w14:paraId="05FF3ED2"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proofErr w:type="spellStart"/>
            <w:r w:rsidRPr="00C52386">
              <w:rPr>
                <w:rFonts w:ascii="Calibri" w:eastAsia="Times New Roman" w:hAnsi="Calibri" w:cs="Calibri"/>
                <w:color w:val="0D0D0D"/>
                <w:kern w:val="0"/>
                <w:sz w:val="20"/>
                <w:szCs w:val="20"/>
                <w:lang w:val="fr-FR" w:eastAsia="fr-FR"/>
                <w14:ligatures w14:val="none"/>
              </w:rPr>
              <w:t>SOEs</w:t>
            </w:r>
            <w:proofErr w:type="spellEnd"/>
            <w:r w:rsidRPr="00C52386">
              <w:rPr>
                <w:rFonts w:ascii="Calibri" w:eastAsia="Times New Roman" w:hAnsi="Calibri" w:cs="Calibri"/>
                <w:color w:val="0D0D0D"/>
                <w:kern w:val="0"/>
                <w:sz w:val="20"/>
                <w:szCs w:val="20"/>
                <w:lang w:val="fr-FR" w:eastAsia="fr-FR"/>
                <w14:ligatures w14:val="none"/>
              </w:rPr>
              <w:t xml:space="preserve">, Ministry of </w:t>
            </w:r>
            <w:proofErr w:type="spellStart"/>
            <w:r w:rsidRPr="00C52386">
              <w:rPr>
                <w:rFonts w:ascii="Calibri" w:eastAsia="Times New Roman" w:hAnsi="Calibri" w:cs="Calibri"/>
                <w:color w:val="0D0D0D"/>
                <w:kern w:val="0"/>
                <w:sz w:val="20"/>
                <w:szCs w:val="20"/>
                <w:lang w:val="fr-FR" w:eastAsia="fr-FR"/>
                <w14:ligatures w14:val="none"/>
              </w:rPr>
              <w:t>Oil</w:t>
            </w:r>
            <w:proofErr w:type="spellEnd"/>
          </w:p>
        </w:tc>
        <w:tc>
          <w:tcPr>
            <w:tcW w:w="0" w:type="auto"/>
            <w:hideMark/>
          </w:tcPr>
          <w:p w14:paraId="2C19BF1B"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r w:rsidRPr="00C52386">
              <w:rPr>
                <w:rFonts w:ascii="Calibri" w:eastAsia="Times New Roman" w:hAnsi="Calibri" w:cs="Calibri"/>
                <w:color w:val="0D0D0D"/>
                <w:kern w:val="0"/>
                <w:sz w:val="20"/>
                <w:szCs w:val="20"/>
                <w:lang w:val="fr-FR" w:eastAsia="fr-FR"/>
                <w14:ligatures w14:val="none"/>
              </w:rPr>
              <w:t>By SOE</w:t>
            </w:r>
          </w:p>
        </w:tc>
        <w:tc>
          <w:tcPr>
            <w:tcW w:w="0" w:type="auto"/>
            <w:hideMark/>
          </w:tcPr>
          <w:p w14:paraId="72C526DA"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p>
        </w:tc>
        <w:tc>
          <w:tcPr>
            <w:tcW w:w="0" w:type="auto"/>
            <w:hideMark/>
          </w:tcPr>
          <w:p w14:paraId="1070744E"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p>
        </w:tc>
        <w:tc>
          <w:tcPr>
            <w:tcW w:w="0" w:type="auto"/>
            <w:hideMark/>
          </w:tcPr>
          <w:p w14:paraId="452A9898" w14:textId="77777777" w:rsidR="0029062F" w:rsidRPr="00C52386" w:rsidRDefault="0029062F" w:rsidP="0029062F">
            <w:pPr>
              <w:spacing w:after="160" w:line="278" w:lineRule="auto"/>
              <w:rPr>
                <w:rFonts w:ascii="Calibri" w:eastAsia="Times New Roman" w:hAnsi="Calibri" w:cs="Calibri"/>
                <w:color w:val="0D0D0D"/>
                <w:kern w:val="0"/>
                <w:sz w:val="20"/>
                <w:szCs w:val="20"/>
                <w:lang w:val="fr-FR" w:eastAsia="fr-FR"/>
                <w14:ligatures w14:val="none"/>
              </w:rPr>
            </w:pPr>
          </w:p>
        </w:tc>
      </w:tr>
    </w:tbl>
    <w:p w14:paraId="168345CC" w14:textId="04F923BE" w:rsidR="0037147E" w:rsidRPr="00A3573B" w:rsidRDefault="005F017B" w:rsidP="0037147E">
      <w:pPr>
        <w:pStyle w:val="Heading4"/>
        <w:spacing w:before="120" w:after="120"/>
        <w:rPr>
          <w:rFonts w:ascii="Kohinoor Devanagari" w:hAnsi="Kohinoor Devanagari" w:cs="Kohinoor Devanagari"/>
          <w:b/>
          <w:bCs/>
          <w:sz w:val="22"/>
          <w:szCs w:val="22"/>
        </w:rPr>
      </w:pPr>
      <w:r>
        <w:rPr>
          <w:rFonts w:ascii="Kohinoor Devanagari" w:hAnsi="Kohinoor Devanagari" w:cs="Kohinoor Devanagari"/>
          <w:b/>
          <w:bCs/>
          <w:sz w:val="22"/>
          <w:szCs w:val="22"/>
        </w:rPr>
        <w:t xml:space="preserve">5.2. </w:t>
      </w:r>
      <w:r w:rsidR="0037147E" w:rsidRPr="00A3573B">
        <w:rPr>
          <w:rFonts w:ascii="Kohinoor Devanagari" w:hAnsi="Kohinoor Devanagari" w:cs="Kohinoor Devanagari"/>
          <w:b/>
          <w:bCs/>
          <w:sz w:val="22"/>
          <w:szCs w:val="22"/>
        </w:rPr>
        <w:t>Sale of the State’s In-Kind Revenues (Requirement 4.2)</w:t>
      </w:r>
    </w:p>
    <w:p w14:paraId="45194DAB" w14:textId="77777777" w:rsidR="0037147E" w:rsidRPr="00D20A35" w:rsidRDefault="0037147E" w:rsidP="0037147E">
      <w:pPr>
        <w:rPr>
          <w:rFonts w:ascii="Kohinoor Devanagari" w:eastAsia="Times New Roman" w:hAnsi="Kohinoor Devanagari" w:cs="Kohinoor Devanagari"/>
          <w:b/>
          <w:bCs/>
          <w:color w:val="0D0D0D"/>
          <w:kern w:val="0"/>
          <w:sz w:val="22"/>
          <w:szCs w:val="22"/>
          <w:lang w:eastAsia="fr-FR"/>
          <w14:ligatures w14:val="none"/>
        </w:rPr>
      </w:pPr>
      <w:r w:rsidRPr="00D20A35">
        <w:rPr>
          <w:rFonts w:ascii="Kohinoor Devanagari" w:eastAsia="Times New Roman" w:hAnsi="Kohinoor Devanagari" w:cs="Kohinoor Devanagari"/>
          <w:b/>
          <w:bCs/>
          <w:color w:val="0D0D0D"/>
          <w:kern w:val="0"/>
          <w:sz w:val="22"/>
          <w:szCs w:val="22"/>
          <w:lang w:eastAsia="fr-FR"/>
          <w14:ligatures w14:val="none"/>
        </w:rPr>
        <w:t>Objective</w:t>
      </w:r>
    </w:p>
    <w:p w14:paraId="76C5850D" w14:textId="77777777" w:rsidR="0037147E" w:rsidRPr="00D20A35" w:rsidRDefault="0037147E" w:rsidP="0037147E">
      <w:p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D20A35">
        <w:rPr>
          <w:rFonts w:ascii="Kohinoor Devanagari" w:eastAsia="Times New Roman" w:hAnsi="Kohinoor Devanagari" w:cs="Kohinoor Devanagari"/>
          <w:color w:val="0D0D0D"/>
          <w:kern w:val="0"/>
          <w:sz w:val="22"/>
          <w:szCs w:val="22"/>
          <w:lang w:eastAsia="fr-FR"/>
          <w14:ligatures w14:val="none"/>
        </w:rPr>
        <w:t>This section ensures transparency in the sale of oil, gas, and other extractive commodities collected in kind by the state, allowing public assessment of whether:</w:t>
      </w:r>
    </w:p>
    <w:p w14:paraId="128E49D9" w14:textId="77777777" w:rsidR="0037147E" w:rsidRPr="00D20A35" w:rsidRDefault="0037147E" w:rsidP="0037147E">
      <w:pPr>
        <w:numPr>
          <w:ilvl w:val="0"/>
          <w:numId w:val="60"/>
        </w:num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D20A35">
        <w:rPr>
          <w:rFonts w:ascii="Kohinoor Devanagari" w:eastAsia="Times New Roman" w:hAnsi="Kohinoor Devanagari" w:cs="Kohinoor Devanagari"/>
          <w:color w:val="0D0D0D"/>
          <w:kern w:val="0"/>
          <w:sz w:val="22"/>
          <w:szCs w:val="22"/>
          <w:lang w:eastAsia="fr-FR"/>
          <w14:ligatures w14:val="none"/>
        </w:rPr>
        <w:t>Sales values align with market prices.</w:t>
      </w:r>
    </w:p>
    <w:p w14:paraId="77B3C2B3" w14:textId="77777777" w:rsidR="0037147E" w:rsidRPr="00D20A35" w:rsidRDefault="0037147E" w:rsidP="0037147E">
      <w:pPr>
        <w:numPr>
          <w:ilvl w:val="0"/>
          <w:numId w:val="60"/>
        </w:num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D20A35">
        <w:rPr>
          <w:rFonts w:ascii="Kohinoor Devanagari" w:eastAsia="Times New Roman" w:hAnsi="Kohinoor Devanagari" w:cs="Kohinoor Devanagari"/>
          <w:color w:val="0D0D0D"/>
          <w:kern w:val="0"/>
          <w:sz w:val="22"/>
          <w:szCs w:val="22"/>
          <w:lang w:eastAsia="fr-FR"/>
          <w14:ligatures w14:val="none"/>
        </w:rPr>
        <w:t>Proceeds from these sales are fully transferred to the national Treasury.</w:t>
      </w:r>
    </w:p>
    <w:p w14:paraId="4641480F" w14:textId="77777777" w:rsidR="0037147E" w:rsidRPr="00D20A35" w:rsidRDefault="0037147E" w:rsidP="0037147E">
      <w:pPr>
        <w:numPr>
          <w:ilvl w:val="0"/>
          <w:numId w:val="60"/>
        </w:num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D20A35">
        <w:rPr>
          <w:rFonts w:ascii="Kohinoor Devanagari" w:eastAsia="Times New Roman" w:hAnsi="Kohinoor Devanagari" w:cs="Kohinoor Devanagari"/>
          <w:color w:val="0D0D0D"/>
          <w:kern w:val="0"/>
          <w:sz w:val="22"/>
          <w:szCs w:val="22"/>
          <w:lang w:eastAsia="fr-FR"/>
          <w14:ligatures w14:val="none"/>
        </w:rPr>
        <w:t>Disclosures cover both international and domestic sales.</w:t>
      </w:r>
    </w:p>
    <w:p w14:paraId="51764B2E" w14:textId="77777777" w:rsidR="0037147E" w:rsidRPr="009F50A1" w:rsidRDefault="0037147E" w:rsidP="0037147E">
      <w:pPr>
        <w:rPr>
          <w:rFonts w:ascii="Kohinoor Devanagari" w:eastAsia="Times New Roman" w:hAnsi="Kohinoor Devanagari" w:cs="Kohinoor Devanagari"/>
          <w:b/>
          <w:bCs/>
          <w:color w:val="0D0D0D"/>
          <w:kern w:val="0"/>
          <w:sz w:val="22"/>
          <w:szCs w:val="22"/>
          <w:lang w:eastAsia="fr-FR"/>
          <w14:ligatures w14:val="none"/>
        </w:rPr>
      </w:pPr>
      <w:r w:rsidRPr="009F50A1">
        <w:rPr>
          <w:rFonts w:ascii="Kohinoor Devanagari" w:eastAsia="Times New Roman" w:hAnsi="Kohinoor Devanagari" w:cs="Kohinoor Devanagari"/>
          <w:b/>
          <w:bCs/>
          <w:color w:val="0D0D0D"/>
          <w:kern w:val="0"/>
          <w:sz w:val="22"/>
          <w:szCs w:val="22"/>
          <w:lang w:eastAsia="fr-FR"/>
          <w14:ligatures w14:val="none"/>
        </w:rPr>
        <w:t>Data Disclosure Requirements</w:t>
      </w:r>
    </w:p>
    <w:tbl>
      <w:tblPr>
        <w:tblStyle w:val="TableGrid"/>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309"/>
        <w:gridCol w:w="1704"/>
        <w:gridCol w:w="1314"/>
        <w:gridCol w:w="1531"/>
        <w:gridCol w:w="1103"/>
        <w:gridCol w:w="1140"/>
        <w:gridCol w:w="1237"/>
      </w:tblGrid>
      <w:tr w:rsidR="00A31CD8" w:rsidRPr="00A31CD8" w14:paraId="2920C147" w14:textId="77777777" w:rsidTr="00A31CD8">
        <w:trPr>
          <w:tblHeader/>
        </w:trPr>
        <w:tc>
          <w:tcPr>
            <w:tcW w:w="0" w:type="auto"/>
            <w:shd w:val="clear" w:color="auto" w:fill="748A96"/>
            <w:hideMark/>
          </w:tcPr>
          <w:p w14:paraId="422EF47C" w14:textId="77777777" w:rsidR="0037147E" w:rsidRPr="00C52386" w:rsidRDefault="0037147E"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Data Type</w:t>
            </w:r>
          </w:p>
        </w:tc>
        <w:tc>
          <w:tcPr>
            <w:tcW w:w="0" w:type="auto"/>
            <w:shd w:val="clear" w:color="auto" w:fill="748A96"/>
            <w:hideMark/>
          </w:tcPr>
          <w:p w14:paraId="1E660B8C" w14:textId="77777777" w:rsidR="0037147E" w:rsidRPr="00C52386" w:rsidRDefault="0037147E"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Description</w:t>
            </w:r>
          </w:p>
        </w:tc>
        <w:tc>
          <w:tcPr>
            <w:tcW w:w="0" w:type="auto"/>
            <w:shd w:val="clear" w:color="auto" w:fill="748A96"/>
            <w:hideMark/>
          </w:tcPr>
          <w:p w14:paraId="4BD5ACCF" w14:textId="77777777" w:rsidR="0037147E" w:rsidRPr="00C52386" w:rsidRDefault="0037147E"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Responsible Entities</w:t>
            </w:r>
          </w:p>
        </w:tc>
        <w:tc>
          <w:tcPr>
            <w:tcW w:w="0" w:type="auto"/>
            <w:shd w:val="clear" w:color="auto" w:fill="748A96"/>
            <w:hideMark/>
          </w:tcPr>
          <w:p w14:paraId="5F536ED1" w14:textId="77777777" w:rsidR="0037147E" w:rsidRPr="00C52386" w:rsidRDefault="0037147E"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Disaggregation</w:t>
            </w:r>
          </w:p>
        </w:tc>
        <w:tc>
          <w:tcPr>
            <w:tcW w:w="0" w:type="auto"/>
            <w:shd w:val="clear" w:color="auto" w:fill="748A96"/>
            <w:hideMark/>
          </w:tcPr>
          <w:p w14:paraId="1ECF3E2A" w14:textId="77777777" w:rsidR="0037147E" w:rsidRPr="00C52386" w:rsidRDefault="0037147E"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Frequency</w:t>
            </w:r>
          </w:p>
        </w:tc>
        <w:tc>
          <w:tcPr>
            <w:tcW w:w="0" w:type="auto"/>
            <w:shd w:val="clear" w:color="auto" w:fill="748A96"/>
            <w:hideMark/>
          </w:tcPr>
          <w:p w14:paraId="0F909CDD" w14:textId="77777777" w:rsidR="0037147E" w:rsidRPr="00C52386" w:rsidRDefault="0037147E"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Format</w:t>
            </w:r>
          </w:p>
        </w:tc>
        <w:tc>
          <w:tcPr>
            <w:tcW w:w="0" w:type="auto"/>
            <w:shd w:val="clear" w:color="auto" w:fill="748A96"/>
            <w:hideMark/>
          </w:tcPr>
          <w:p w14:paraId="39DE8854" w14:textId="77777777" w:rsidR="0037147E" w:rsidRPr="00C52386" w:rsidRDefault="0037147E"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Publication Channels</w:t>
            </w:r>
          </w:p>
        </w:tc>
      </w:tr>
      <w:tr w:rsidR="0037147E" w:rsidRPr="009F50A1" w14:paraId="0A219641" w14:textId="77777777" w:rsidTr="0092022E">
        <w:tc>
          <w:tcPr>
            <w:tcW w:w="0" w:type="auto"/>
            <w:hideMark/>
          </w:tcPr>
          <w:p w14:paraId="68A39490"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Volumes of In-Kind Revenues Received</w:t>
            </w:r>
          </w:p>
        </w:tc>
        <w:tc>
          <w:tcPr>
            <w:tcW w:w="0" w:type="auto"/>
            <w:hideMark/>
          </w:tcPr>
          <w:p w14:paraId="668734FF"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Disclosure of total in-kind oil, gas, and minerals collected by the state.</w:t>
            </w:r>
          </w:p>
        </w:tc>
        <w:tc>
          <w:tcPr>
            <w:tcW w:w="0" w:type="auto"/>
            <w:hideMark/>
          </w:tcPr>
          <w:p w14:paraId="6C090EEC"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 xml:space="preserve">Ministry of Oil, </w:t>
            </w:r>
          </w:p>
          <w:p w14:paraId="328E7057"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SOMO, SOEs Ministry of Natural Resources (KRG)</w:t>
            </w:r>
          </w:p>
        </w:tc>
        <w:tc>
          <w:tcPr>
            <w:tcW w:w="0" w:type="auto"/>
            <w:hideMark/>
          </w:tcPr>
          <w:p w14:paraId="1D789625"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By commodity, producing SOE, type of product</w:t>
            </w:r>
          </w:p>
        </w:tc>
        <w:tc>
          <w:tcPr>
            <w:tcW w:w="0" w:type="auto"/>
            <w:hideMark/>
          </w:tcPr>
          <w:p w14:paraId="3624C96E"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Monthly &amp; Annually</w:t>
            </w:r>
          </w:p>
        </w:tc>
        <w:tc>
          <w:tcPr>
            <w:tcW w:w="0" w:type="auto"/>
            <w:hideMark/>
          </w:tcPr>
          <w:p w14:paraId="3C505F72"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CSV, JSON</w:t>
            </w:r>
          </w:p>
          <w:p w14:paraId="726A7420"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Excel</w:t>
            </w:r>
          </w:p>
        </w:tc>
        <w:tc>
          <w:tcPr>
            <w:tcW w:w="0" w:type="auto"/>
            <w:hideMark/>
          </w:tcPr>
          <w:p w14:paraId="78F5D60D" w14:textId="24C1AB18" w:rsidR="0037147E" w:rsidRPr="009F50A1" w:rsidRDefault="00E63D34" w:rsidP="0092022E">
            <w:pPr>
              <w:spacing w:after="40"/>
              <w:rPr>
                <w:rFonts w:ascii="Calibri" w:eastAsia="Times New Roman" w:hAnsi="Calibri" w:cs="Calibri"/>
                <w:color w:val="0D0D0D"/>
                <w:kern w:val="0"/>
                <w:sz w:val="20"/>
                <w:szCs w:val="20"/>
                <w:lang w:eastAsia="fr-FR"/>
                <w14:ligatures w14:val="none"/>
              </w:rPr>
            </w:pPr>
            <w:r w:rsidRPr="00E63D34">
              <w:rPr>
                <w:rFonts w:ascii="Calibri" w:eastAsia="Times New Roman" w:hAnsi="Calibri" w:cs="Calibri"/>
                <w:color w:val="0D0D0D"/>
                <w:kern w:val="0"/>
                <w:sz w:val="20"/>
                <w:szCs w:val="20"/>
                <w:lang w:eastAsia="fr-FR"/>
                <w14:ligatures w14:val="none"/>
              </w:rPr>
              <w:t>NRTC</w:t>
            </w:r>
            <w:r w:rsidR="0037147E" w:rsidRPr="009F50A1">
              <w:rPr>
                <w:rFonts w:ascii="Calibri" w:eastAsia="Times New Roman" w:hAnsi="Calibri" w:cs="Calibri"/>
                <w:color w:val="0D0D0D"/>
                <w:kern w:val="0"/>
                <w:sz w:val="20"/>
                <w:szCs w:val="20"/>
                <w:lang w:eastAsia="fr-FR"/>
                <w14:ligatures w14:val="none"/>
              </w:rPr>
              <w:t xml:space="preserve"> Iraq portal, </w:t>
            </w:r>
            <w:proofErr w:type="spellStart"/>
            <w:r w:rsidR="0037147E" w:rsidRPr="009F50A1">
              <w:rPr>
                <w:rFonts w:ascii="Calibri" w:eastAsia="Times New Roman" w:hAnsi="Calibri" w:cs="Calibri"/>
                <w:color w:val="0D0D0D"/>
                <w:kern w:val="0"/>
                <w:sz w:val="20"/>
                <w:szCs w:val="20"/>
                <w:lang w:eastAsia="fr-FR"/>
                <w14:ligatures w14:val="none"/>
              </w:rPr>
              <w:t>MoO</w:t>
            </w:r>
            <w:proofErr w:type="spellEnd"/>
            <w:r w:rsidR="0037147E" w:rsidRPr="009F50A1">
              <w:rPr>
                <w:rFonts w:ascii="Calibri" w:eastAsia="Times New Roman" w:hAnsi="Calibri" w:cs="Calibri"/>
                <w:color w:val="0D0D0D"/>
                <w:kern w:val="0"/>
                <w:sz w:val="20"/>
                <w:szCs w:val="20"/>
                <w:lang w:eastAsia="fr-FR"/>
                <w14:ligatures w14:val="none"/>
              </w:rPr>
              <w:t xml:space="preserve"> and SOMO &amp; websites</w:t>
            </w:r>
          </w:p>
        </w:tc>
      </w:tr>
      <w:tr w:rsidR="0037147E" w:rsidRPr="009F50A1" w14:paraId="12A6997D" w14:textId="77777777" w:rsidTr="0092022E">
        <w:tc>
          <w:tcPr>
            <w:tcW w:w="0" w:type="auto"/>
            <w:hideMark/>
          </w:tcPr>
          <w:p w14:paraId="458DF3E2"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Volumes Sold and Buyers</w:t>
            </w:r>
          </w:p>
        </w:tc>
        <w:tc>
          <w:tcPr>
            <w:tcW w:w="0" w:type="auto"/>
            <w:hideMark/>
          </w:tcPr>
          <w:p w14:paraId="71D20EBF"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Breakdown of oil, gas, and minerals sold, including buyer details.</w:t>
            </w:r>
          </w:p>
        </w:tc>
        <w:tc>
          <w:tcPr>
            <w:tcW w:w="0" w:type="auto"/>
            <w:hideMark/>
          </w:tcPr>
          <w:p w14:paraId="228CB9F0"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SOMO, Ministry of Oil, SOEs,</w:t>
            </w:r>
          </w:p>
          <w:p w14:paraId="0BC5EC1B"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Ministry of Natural Resources (KRG)</w:t>
            </w:r>
          </w:p>
        </w:tc>
        <w:tc>
          <w:tcPr>
            <w:tcW w:w="0" w:type="auto"/>
            <w:hideMark/>
          </w:tcPr>
          <w:p w14:paraId="42FF78F6"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By buyer, contract, individual sale</w:t>
            </w:r>
          </w:p>
        </w:tc>
        <w:tc>
          <w:tcPr>
            <w:tcW w:w="0" w:type="auto"/>
            <w:hideMark/>
          </w:tcPr>
          <w:p w14:paraId="5DD05533"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Monthly &amp; Annually</w:t>
            </w:r>
          </w:p>
        </w:tc>
        <w:tc>
          <w:tcPr>
            <w:tcW w:w="0" w:type="auto"/>
            <w:hideMark/>
          </w:tcPr>
          <w:p w14:paraId="1C616B95"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CSV, JSON</w:t>
            </w:r>
          </w:p>
          <w:p w14:paraId="6068F5BD"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Excel</w:t>
            </w:r>
          </w:p>
        </w:tc>
        <w:tc>
          <w:tcPr>
            <w:tcW w:w="0" w:type="auto"/>
            <w:hideMark/>
          </w:tcPr>
          <w:p w14:paraId="35A83FDC" w14:textId="1FFBCADC" w:rsidR="0037147E" w:rsidRPr="009F50A1" w:rsidRDefault="00E63D34" w:rsidP="0092022E">
            <w:pPr>
              <w:spacing w:after="40"/>
              <w:rPr>
                <w:rFonts w:ascii="Calibri" w:eastAsia="Times New Roman" w:hAnsi="Calibri" w:cs="Calibri"/>
                <w:color w:val="0D0D0D"/>
                <w:kern w:val="0"/>
                <w:sz w:val="20"/>
                <w:szCs w:val="20"/>
                <w:lang w:eastAsia="fr-FR"/>
                <w14:ligatures w14:val="none"/>
              </w:rPr>
            </w:pPr>
            <w:r w:rsidRPr="00E63D34">
              <w:rPr>
                <w:rFonts w:ascii="Calibri" w:eastAsia="Times New Roman" w:hAnsi="Calibri" w:cs="Calibri"/>
                <w:color w:val="0D0D0D"/>
                <w:kern w:val="0"/>
                <w:sz w:val="20"/>
                <w:szCs w:val="20"/>
                <w:lang w:eastAsia="fr-FR"/>
                <w14:ligatures w14:val="none"/>
              </w:rPr>
              <w:t>NRTC</w:t>
            </w:r>
            <w:r w:rsidR="0037147E" w:rsidRPr="009F50A1">
              <w:rPr>
                <w:rFonts w:ascii="Calibri" w:eastAsia="Times New Roman" w:hAnsi="Calibri" w:cs="Calibri"/>
                <w:color w:val="0D0D0D"/>
                <w:kern w:val="0"/>
                <w:sz w:val="20"/>
                <w:szCs w:val="20"/>
                <w:lang w:eastAsia="fr-FR"/>
                <w14:ligatures w14:val="none"/>
              </w:rPr>
              <w:t xml:space="preserve"> Iraq portal, </w:t>
            </w:r>
            <w:proofErr w:type="spellStart"/>
            <w:r w:rsidR="0037147E" w:rsidRPr="009F50A1">
              <w:rPr>
                <w:rFonts w:ascii="Calibri" w:eastAsia="Times New Roman" w:hAnsi="Calibri" w:cs="Calibri"/>
                <w:color w:val="0D0D0D"/>
                <w:kern w:val="0"/>
                <w:sz w:val="20"/>
                <w:szCs w:val="20"/>
                <w:lang w:eastAsia="fr-FR"/>
                <w14:ligatures w14:val="none"/>
              </w:rPr>
              <w:t>MoO</w:t>
            </w:r>
            <w:proofErr w:type="spellEnd"/>
            <w:r w:rsidR="0037147E" w:rsidRPr="009F50A1">
              <w:rPr>
                <w:rFonts w:ascii="Calibri" w:eastAsia="Times New Roman" w:hAnsi="Calibri" w:cs="Calibri"/>
                <w:color w:val="0D0D0D"/>
                <w:kern w:val="0"/>
                <w:sz w:val="20"/>
                <w:szCs w:val="20"/>
                <w:lang w:eastAsia="fr-FR"/>
                <w14:ligatures w14:val="none"/>
              </w:rPr>
              <w:t xml:space="preserve"> and SOMO &amp; websites</w:t>
            </w:r>
          </w:p>
        </w:tc>
      </w:tr>
      <w:tr w:rsidR="0037147E" w:rsidRPr="009F50A1" w14:paraId="78390CBB" w14:textId="77777777" w:rsidTr="0092022E">
        <w:tc>
          <w:tcPr>
            <w:tcW w:w="0" w:type="auto"/>
            <w:hideMark/>
          </w:tcPr>
          <w:p w14:paraId="1C5B1D97"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Sales Revenues &amp; Transfers to the Treasury</w:t>
            </w:r>
          </w:p>
        </w:tc>
        <w:tc>
          <w:tcPr>
            <w:tcW w:w="0" w:type="auto"/>
            <w:hideMark/>
          </w:tcPr>
          <w:p w14:paraId="6E8AE0C7"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Revenues received from in-kind sales and amounts transferred to the national Treasury.</w:t>
            </w:r>
          </w:p>
        </w:tc>
        <w:tc>
          <w:tcPr>
            <w:tcW w:w="0" w:type="auto"/>
            <w:hideMark/>
          </w:tcPr>
          <w:p w14:paraId="60DE119A"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SOMO, SOEs, Ministry of Finance, Central Bank of Iraq</w:t>
            </w:r>
          </w:p>
        </w:tc>
        <w:tc>
          <w:tcPr>
            <w:tcW w:w="0" w:type="auto"/>
            <w:hideMark/>
          </w:tcPr>
          <w:p w14:paraId="42561C95"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By transaction, revenue stream</w:t>
            </w:r>
          </w:p>
        </w:tc>
        <w:tc>
          <w:tcPr>
            <w:tcW w:w="0" w:type="auto"/>
            <w:hideMark/>
          </w:tcPr>
          <w:p w14:paraId="7C935F96"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Quarterly</w:t>
            </w:r>
          </w:p>
        </w:tc>
        <w:tc>
          <w:tcPr>
            <w:tcW w:w="0" w:type="auto"/>
            <w:hideMark/>
          </w:tcPr>
          <w:p w14:paraId="3CC6E711"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PDF, CSV</w:t>
            </w:r>
          </w:p>
          <w:p w14:paraId="359B4E78"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Excel</w:t>
            </w:r>
          </w:p>
        </w:tc>
        <w:tc>
          <w:tcPr>
            <w:tcW w:w="0" w:type="auto"/>
            <w:hideMark/>
          </w:tcPr>
          <w:p w14:paraId="221E1C86" w14:textId="6AC4E3C9" w:rsidR="0037147E" w:rsidRPr="009F50A1" w:rsidRDefault="00E63D34" w:rsidP="0092022E">
            <w:pPr>
              <w:spacing w:after="40"/>
              <w:rPr>
                <w:rFonts w:ascii="Calibri" w:eastAsia="Times New Roman" w:hAnsi="Calibri" w:cs="Calibri"/>
                <w:color w:val="0D0D0D"/>
                <w:kern w:val="0"/>
                <w:sz w:val="20"/>
                <w:szCs w:val="20"/>
                <w:lang w:eastAsia="fr-FR"/>
                <w14:ligatures w14:val="none"/>
              </w:rPr>
            </w:pPr>
            <w:r w:rsidRPr="00E63D34">
              <w:rPr>
                <w:rFonts w:ascii="Calibri" w:eastAsia="Times New Roman" w:hAnsi="Calibri" w:cs="Calibri"/>
                <w:color w:val="0D0D0D"/>
                <w:kern w:val="0"/>
                <w:sz w:val="20"/>
                <w:szCs w:val="20"/>
                <w:lang w:eastAsia="fr-FR"/>
                <w14:ligatures w14:val="none"/>
              </w:rPr>
              <w:t>NRTC</w:t>
            </w:r>
            <w:r w:rsidR="0037147E" w:rsidRPr="009F50A1">
              <w:rPr>
                <w:rFonts w:ascii="Calibri" w:eastAsia="Times New Roman" w:hAnsi="Calibri" w:cs="Calibri"/>
                <w:color w:val="0D0D0D"/>
                <w:kern w:val="0"/>
                <w:sz w:val="20"/>
                <w:szCs w:val="20"/>
                <w:lang w:eastAsia="fr-FR"/>
                <w14:ligatures w14:val="none"/>
              </w:rPr>
              <w:t xml:space="preserve"> Iraq portal, Ministry of Finance website</w:t>
            </w:r>
          </w:p>
        </w:tc>
      </w:tr>
      <w:tr w:rsidR="0037147E" w:rsidRPr="009F50A1" w14:paraId="5F2C2F45" w14:textId="77777777" w:rsidTr="0092022E">
        <w:tc>
          <w:tcPr>
            <w:tcW w:w="0" w:type="auto"/>
            <w:hideMark/>
          </w:tcPr>
          <w:p w14:paraId="3FAA49C9"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Domestic Sales of In-Kind Revenues</w:t>
            </w:r>
          </w:p>
        </w:tc>
        <w:tc>
          <w:tcPr>
            <w:tcW w:w="0" w:type="auto"/>
            <w:hideMark/>
          </w:tcPr>
          <w:p w14:paraId="02DD7492"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Breakdown of crude oil and gas supplied domestically, including to refineries and power plants.</w:t>
            </w:r>
          </w:p>
        </w:tc>
        <w:tc>
          <w:tcPr>
            <w:tcW w:w="0" w:type="auto"/>
            <w:hideMark/>
          </w:tcPr>
          <w:p w14:paraId="04CDC2A2"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Ministry of Oil, SOEs</w:t>
            </w:r>
          </w:p>
        </w:tc>
        <w:tc>
          <w:tcPr>
            <w:tcW w:w="0" w:type="auto"/>
            <w:hideMark/>
          </w:tcPr>
          <w:p w14:paraId="64B0802B"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By recipient SOE, volume, value</w:t>
            </w:r>
          </w:p>
        </w:tc>
        <w:tc>
          <w:tcPr>
            <w:tcW w:w="0" w:type="auto"/>
            <w:hideMark/>
          </w:tcPr>
          <w:p w14:paraId="6231CEBF"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Quarterly</w:t>
            </w:r>
          </w:p>
        </w:tc>
        <w:tc>
          <w:tcPr>
            <w:tcW w:w="0" w:type="auto"/>
            <w:hideMark/>
          </w:tcPr>
          <w:p w14:paraId="2BD55DD7"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PDF, CSV</w:t>
            </w:r>
          </w:p>
          <w:p w14:paraId="337DBC86"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Excel</w:t>
            </w:r>
          </w:p>
        </w:tc>
        <w:tc>
          <w:tcPr>
            <w:tcW w:w="0" w:type="auto"/>
            <w:hideMark/>
          </w:tcPr>
          <w:p w14:paraId="79B63C17" w14:textId="08304555" w:rsidR="0037147E" w:rsidRPr="009F50A1" w:rsidRDefault="00E63D34" w:rsidP="0092022E">
            <w:pPr>
              <w:spacing w:after="40"/>
              <w:rPr>
                <w:rFonts w:ascii="Calibri" w:eastAsia="Times New Roman" w:hAnsi="Calibri" w:cs="Calibri"/>
                <w:color w:val="0D0D0D"/>
                <w:kern w:val="0"/>
                <w:sz w:val="20"/>
                <w:szCs w:val="20"/>
                <w:lang w:eastAsia="fr-FR"/>
                <w14:ligatures w14:val="none"/>
              </w:rPr>
            </w:pPr>
            <w:r w:rsidRPr="00E63D34">
              <w:rPr>
                <w:rFonts w:ascii="Calibri" w:eastAsia="Times New Roman" w:hAnsi="Calibri" w:cs="Calibri"/>
                <w:color w:val="0D0D0D"/>
                <w:kern w:val="0"/>
                <w:sz w:val="20"/>
                <w:szCs w:val="20"/>
                <w:lang w:eastAsia="fr-FR"/>
                <w14:ligatures w14:val="none"/>
              </w:rPr>
              <w:t>NRTC</w:t>
            </w:r>
            <w:r w:rsidR="0037147E" w:rsidRPr="009F50A1">
              <w:rPr>
                <w:rFonts w:ascii="Calibri" w:eastAsia="Times New Roman" w:hAnsi="Calibri" w:cs="Calibri"/>
                <w:color w:val="0D0D0D"/>
                <w:kern w:val="0"/>
                <w:sz w:val="20"/>
                <w:szCs w:val="20"/>
                <w:lang w:eastAsia="fr-FR"/>
                <w14:ligatures w14:val="none"/>
              </w:rPr>
              <w:t xml:space="preserve"> Iraq portal, Ministry of Oil website</w:t>
            </w:r>
          </w:p>
        </w:tc>
      </w:tr>
      <w:tr w:rsidR="0037147E" w:rsidRPr="009F50A1" w14:paraId="0F665287" w14:textId="77777777" w:rsidTr="0092022E">
        <w:tc>
          <w:tcPr>
            <w:tcW w:w="0" w:type="auto"/>
            <w:hideMark/>
          </w:tcPr>
          <w:p w14:paraId="3D1E6014"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Selection Process for Buyers</w:t>
            </w:r>
          </w:p>
        </w:tc>
        <w:tc>
          <w:tcPr>
            <w:tcW w:w="0" w:type="auto"/>
            <w:hideMark/>
          </w:tcPr>
          <w:p w14:paraId="5158BC53"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Criteria used for selecting buyers, including bidding process and beneficial ownership of purchasing companies.</w:t>
            </w:r>
          </w:p>
        </w:tc>
        <w:tc>
          <w:tcPr>
            <w:tcW w:w="0" w:type="auto"/>
            <w:hideMark/>
          </w:tcPr>
          <w:p w14:paraId="543DACEB"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SOMO, Ministry of Oil</w:t>
            </w:r>
          </w:p>
        </w:tc>
        <w:tc>
          <w:tcPr>
            <w:tcW w:w="0" w:type="auto"/>
            <w:hideMark/>
          </w:tcPr>
          <w:p w14:paraId="5D1F9B5F"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By buyer, transaction</w:t>
            </w:r>
          </w:p>
        </w:tc>
        <w:tc>
          <w:tcPr>
            <w:tcW w:w="0" w:type="auto"/>
            <w:hideMark/>
          </w:tcPr>
          <w:p w14:paraId="209869D9"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Annually</w:t>
            </w:r>
          </w:p>
        </w:tc>
        <w:tc>
          <w:tcPr>
            <w:tcW w:w="0" w:type="auto"/>
            <w:hideMark/>
          </w:tcPr>
          <w:p w14:paraId="1221779C"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1AF6">
              <w:rPr>
                <w:rFonts w:ascii="Calibri" w:eastAsia="Times New Roman" w:hAnsi="Calibri" w:cs="Calibri"/>
                <w:color w:val="0D0D0D"/>
                <w:kern w:val="0"/>
                <w:sz w:val="20"/>
                <w:szCs w:val="20"/>
                <w:lang w:eastAsia="fr-FR"/>
                <w14:ligatures w14:val="none"/>
              </w:rPr>
              <w:t>HTML (PDF optional)</w:t>
            </w:r>
          </w:p>
        </w:tc>
        <w:tc>
          <w:tcPr>
            <w:tcW w:w="0" w:type="auto"/>
            <w:hideMark/>
          </w:tcPr>
          <w:p w14:paraId="28F663FB"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 xml:space="preserve">SOMO, SOEs websites </w:t>
            </w:r>
          </w:p>
        </w:tc>
      </w:tr>
      <w:tr w:rsidR="0037147E" w:rsidRPr="009F50A1" w14:paraId="17339666" w14:textId="77777777" w:rsidTr="0092022E">
        <w:tc>
          <w:tcPr>
            <w:tcW w:w="0" w:type="auto"/>
            <w:hideMark/>
          </w:tcPr>
          <w:p w14:paraId="6378BD50"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Sales Agreements</w:t>
            </w:r>
          </w:p>
        </w:tc>
        <w:tc>
          <w:tcPr>
            <w:tcW w:w="0" w:type="auto"/>
            <w:hideMark/>
          </w:tcPr>
          <w:p w14:paraId="2A038FB7"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Summary or full text of contracts with buyers, where feasible.</w:t>
            </w:r>
          </w:p>
        </w:tc>
        <w:tc>
          <w:tcPr>
            <w:tcW w:w="0" w:type="auto"/>
            <w:hideMark/>
          </w:tcPr>
          <w:p w14:paraId="65AD174D"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SOMO, SOEs, Ministry of Oil</w:t>
            </w:r>
          </w:p>
        </w:tc>
        <w:tc>
          <w:tcPr>
            <w:tcW w:w="0" w:type="auto"/>
            <w:hideMark/>
          </w:tcPr>
          <w:p w14:paraId="3C63CB2D"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By contract</w:t>
            </w:r>
          </w:p>
        </w:tc>
        <w:tc>
          <w:tcPr>
            <w:tcW w:w="0" w:type="auto"/>
            <w:hideMark/>
          </w:tcPr>
          <w:p w14:paraId="5B764DE5"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Annually</w:t>
            </w:r>
          </w:p>
        </w:tc>
        <w:tc>
          <w:tcPr>
            <w:tcW w:w="0" w:type="auto"/>
            <w:hideMark/>
          </w:tcPr>
          <w:p w14:paraId="64972E25"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1AF6">
              <w:rPr>
                <w:rFonts w:ascii="Calibri" w:eastAsia="Times New Roman" w:hAnsi="Calibri" w:cs="Calibri"/>
                <w:color w:val="0D0D0D"/>
                <w:kern w:val="0"/>
                <w:sz w:val="20"/>
                <w:szCs w:val="20"/>
                <w:lang w:eastAsia="fr-FR"/>
                <w14:ligatures w14:val="none"/>
              </w:rPr>
              <w:t>HTML (PDF if applicable)</w:t>
            </w:r>
          </w:p>
        </w:tc>
        <w:tc>
          <w:tcPr>
            <w:tcW w:w="0" w:type="auto"/>
            <w:hideMark/>
          </w:tcPr>
          <w:p w14:paraId="16D2271F" w14:textId="090A0A59" w:rsidR="0037147E" w:rsidRPr="009F50A1" w:rsidRDefault="00E63D34" w:rsidP="0092022E">
            <w:pPr>
              <w:spacing w:after="40"/>
              <w:rPr>
                <w:rFonts w:ascii="Calibri" w:eastAsia="Times New Roman" w:hAnsi="Calibri" w:cs="Calibri"/>
                <w:color w:val="0D0D0D"/>
                <w:kern w:val="0"/>
                <w:sz w:val="20"/>
                <w:szCs w:val="20"/>
                <w:lang w:eastAsia="fr-FR"/>
                <w14:ligatures w14:val="none"/>
              </w:rPr>
            </w:pPr>
            <w:r w:rsidRPr="00E63D34">
              <w:rPr>
                <w:rFonts w:ascii="Calibri" w:eastAsia="Times New Roman" w:hAnsi="Calibri" w:cs="Calibri"/>
                <w:color w:val="0D0D0D"/>
                <w:kern w:val="0"/>
                <w:sz w:val="20"/>
                <w:szCs w:val="20"/>
                <w:lang w:eastAsia="fr-FR"/>
                <w14:ligatures w14:val="none"/>
              </w:rPr>
              <w:t>NRTC</w:t>
            </w:r>
            <w:r w:rsidR="0037147E" w:rsidRPr="009F50A1">
              <w:rPr>
                <w:rFonts w:ascii="Calibri" w:eastAsia="Times New Roman" w:hAnsi="Calibri" w:cs="Calibri"/>
                <w:color w:val="0D0D0D"/>
                <w:kern w:val="0"/>
                <w:sz w:val="20"/>
                <w:szCs w:val="20"/>
                <w:lang w:eastAsia="fr-FR"/>
                <w14:ligatures w14:val="none"/>
              </w:rPr>
              <w:t xml:space="preserve"> Iraq portal, Ministry of Oil website</w:t>
            </w:r>
          </w:p>
        </w:tc>
      </w:tr>
      <w:tr w:rsidR="0037147E" w:rsidRPr="009F50A1" w14:paraId="3AFA4CE3" w14:textId="77777777" w:rsidTr="0092022E">
        <w:tc>
          <w:tcPr>
            <w:tcW w:w="0" w:type="auto"/>
          </w:tcPr>
          <w:p w14:paraId="311D7B22"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Allocation of Oil for service contacts</w:t>
            </w:r>
          </w:p>
        </w:tc>
        <w:tc>
          <w:tcPr>
            <w:tcW w:w="0" w:type="auto"/>
          </w:tcPr>
          <w:p w14:paraId="5309840B"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Allocation and loading of Crude Oil</w:t>
            </w:r>
          </w:p>
        </w:tc>
        <w:tc>
          <w:tcPr>
            <w:tcW w:w="0" w:type="auto"/>
          </w:tcPr>
          <w:p w14:paraId="2F1B78C8"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SOMO, Ministry of Oil</w:t>
            </w:r>
          </w:p>
        </w:tc>
        <w:tc>
          <w:tcPr>
            <w:tcW w:w="0" w:type="auto"/>
          </w:tcPr>
          <w:p w14:paraId="4BF561E1"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By field operator</w:t>
            </w:r>
          </w:p>
          <w:p w14:paraId="1FB8CAAF"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p>
        </w:tc>
        <w:tc>
          <w:tcPr>
            <w:tcW w:w="0" w:type="auto"/>
          </w:tcPr>
          <w:p w14:paraId="0F445C2A"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 xml:space="preserve">Quarterly </w:t>
            </w:r>
          </w:p>
        </w:tc>
        <w:tc>
          <w:tcPr>
            <w:tcW w:w="0" w:type="auto"/>
          </w:tcPr>
          <w:p w14:paraId="4C9080C3"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PDF, CSV</w:t>
            </w:r>
          </w:p>
          <w:p w14:paraId="5EA899F2"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Excel</w:t>
            </w:r>
          </w:p>
        </w:tc>
        <w:tc>
          <w:tcPr>
            <w:tcW w:w="0" w:type="auto"/>
          </w:tcPr>
          <w:p w14:paraId="0526C258" w14:textId="37B29F90" w:rsidR="0037147E" w:rsidRPr="009F50A1" w:rsidRDefault="00E63D34" w:rsidP="0092022E">
            <w:pPr>
              <w:spacing w:after="40"/>
              <w:rPr>
                <w:rFonts w:ascii="Calibri" w:eastAsia="Times New Roman" w:hAnsi="Calibri" w:cs="Calibri"/>
                <w:color w:val="0D0D0D"/>
                <w:kern w:val="0"/>
                <w:sz w:val="20"/>
                <w:szCs w:val="20"/>
                <w:lang w:eastAsia="fr-FR"/>
                <w14:ligatures w14:val="none"/>
              </w:rPr>
            </w:pPr>
            <w:r w:rsidRPr="00E63D34">
              <w:rPr>
                <w:rFonts w:ascii="Calibri" w:eastAsia="Times New Roman" w:hAnsi="Calibri" w:cs="Calibri"/>
                <w:color w:val="0D0D0D"/>
                <w:kern w:val="0"/>
                <w:sz w:val="20"/>
                <w:szCs w:val="20"/>
                <w:lang w:eastAsia="fr-FR"/>
                <w14:ligatures w14:val="none"/>
              </w:rPr>
              <w:t>NRTC</w:t>
            </w:r>
            <w:r w:rsidR="0037147E" w:rsidRPr="009F50A1">
              <w:rPr>
                <w:rFonts w:ascii="Calibri" w:eastAsia="Times New Roman" w:hAnsi="Calibri" w:cs="Calibri"/>
                <w:color w:val="0D0D0D"/>
                <w:kern w:val="0"/>
                <w:sz w:val="20"/>
                <w:szCs w:val="20"/>
                <w:lang w:eastAsia="fr-FR"/>
                <w14:ligatures w14:val="none"/>
              </w:rPr>
              <w:t xml:space="preserve"> Iraq portal, SOMO/ Ministry of Oil website</w:t>
            </w:r>
          </w:p>
        </w:tc>
      </w:tr>
      <w:tr w:rsidR="0037147E" w:rsidRPr="009F50A1" w14:paraId="06C757E1" w14:textId="77777777" w:rsidTr="0092022E">
        <w:tc>
          <w:tcPr>
            <w:tcW w:w="0" w:type="auto"/>
          </w:tcPr>
          <w:p w14:paraId="2F646CAB"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C47775">
              <w:rPr>
                <w:rFonts w:ascii="Calibri" w:eastAsia="Times New Roman" w:hAnsi="Calibri" w:cs="Calibri"/>
                <w:color w:val="0D0D0D"/>
                <w:kern w:val="0"/>
                <w:sz w:val="20"/>
                <w:szCs w:val="20"/>
                <w:lang w:eastAsia="fr-FR"/>
                <w14:ligatures w14:val="none"/>
              </w:rPr>
              <w:t>Oil Proceeds Receipt Account (OPRA) and Transfers to DFI</w:t>
            </w:r>
          </w:p>
        </w:tc>
        <w:tc>
          <w:tcPr>
            <w:tcW w:w="0" w:type="auto"/>
          </w:tcPr>
          <w:p w14:paraId="3AA9AB8C"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402F83">
              <w:rPr>
                <w:rFonts w:ascii="Calibri" w:eastAsia="Times New Roman" w:hAnsi="Calibri" w:cs="Calibri"/>
                <w:color w:val="0D0D0D"/>
                <w:kern w:val="0"/>
                <w:sz w:val="20"/>
                <w:szCs w:val="20"/>
                <w:lang w:eastAsia="fr-FR"/>
                <w14:ligatures w14:val="none"/>
              </w:rPr>
              <w:t>Disclosure of SOMO’s export revenue collection through the OPRA account at the Federal Reserve Bank of New York and subsequent transfers to the Development Fund for Iraq (DFI).</w:t>
            </w:r>
          </w:p>
        </w:tc>
        <w:tc>
          <w:tcPr>
            <w:tcW w:w="0" w:type="auto"/>
          </w:tcPr>
          <w:p w14:paraId="1A26E205"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402F83">
              <w:rPr>
                <w:rFonts w:ascii="Calibri" w:eastAsia="Times New Roman" w:hAnsi="Calibri" w:cs="Calibri"/>
                <w:color w:val="0D0D0D"/>
                <w:kern w:val="0"/>
                <w:sz w:val="20"/>
                <w:szCs w:val="20"/>
                <w:lang w:eastAsia="fr-FR"/>
                <w14:ligatures w14:val="none"/>
              </w:rPr>
              <w:t>SOMO, Ministry of Finance, Central Bank of Iraq</w:t>
            </w:r>
          </w:p>
        </w:tc>
        <w:tc>
          <w:tcPr>
            <w:tcW w:w="0" w:type="auto"/>
          </w:tcPr>
          <w:p w14:paraId="60B98A38"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402F83">
              <w:rPr>
                <w:rFonts w:ascii="Calibri" w:eastAsia="Times New Roman" w:hAnsi="Calibri" w:cs="Calibri"/>
                <w:color w:val="0D0D0D"/>
                <w:kern w:val="0"/>
                <w:sz w:val="20"/>
                <w:szCs w:val="20"/>
                <w:lang w:eastAsia="fr-FR"/>
                <w14:ligatures w14:val="none"/>
              </w:rPr>
              <w:t>By transaction and transfer date</w:t>
            </w:r>
          </w:p>
        </w:tc>
        <w:tc>
          <w:tcPr>
            <w:tcW w:w="0" w:type="auto"/>
          </w:tcPr>
          <w:p w14:paraId="48F86D38"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402F83">
              <w:rPr>
                <w:rFonts w:ascii="Calibri" w:eastAsia="Times New Roman" w:hAnsi="Calibri" w:cs="Calibri"/>
                <w:color w:val="0D0D0D"/>
                <w:kern w:val="0"/>
                <w:sz w:val="20"/>
                <w:szCs w:val="20"/>
                <w:lang w:eastAsia="fr-FR"/>
                <w14:ligatures w14:val="none"/>
              </w:rPr>
              <w:t>Quarterly</w:t>
            </w:r>
          </w:p>
        </w:tc>
        <w:tc>
          <w:tcPr>
            <w:tcW w:w="0" w:type="auto"/>
          </w:tcPr>
          <w:p w14:paraId="7D82E63D" w14:textId="77777777" w:rsidR="0037147E" w:rsidRPr="009F50A1" w:rsidRDefault="0037147E" w:rsidP="0092022E">
            <w:pPr>
              <w:spacing w:after="40"/>
              <w:rPr>
                <w:rFonts w:ascii="Calibri" w:eastAsia="Times New Roman" w:hAnsi="Calibri" w:cs="Calibri"/>
                <w:color w:val="0D0D0D"/>
                <w:kern w:val="0"/>
                <w:sz w:val="20"/>
                <w:szCs w:val="20"/>
                <w:lang w:eastAsia="fr-FR"/>
                <w14:ligatures w14:val="none"/>
              </w:rPr>
            </w:pPr>
            <w:r w:rsidRPr="00780CE5">
              <w:rPr>
                <w:rFonts w:ascii="Calibri" w:eastAsia="Times New Roman" w:hAnsi="Calibri" w:cs="Calibri"/>
                <w:color w:val="0D0D0D"/>
                <w:kern w:val="0"/>
                <w:sz w:val="20"/>
                <w:szCs w:val="20"/>
                <w:lang w:eastAsia="fr-FR"/>
                <w14:ligatures w14:val="none"/>
              </w:rPr>
              <w:t>CSV, HTML (PDF optional)</w:t>
            </w:r>
          </w:p>
        </w:tc>
        <w:tc>
          <w:tcPr>
            <w:tcW w:w="0" w:type="auto"/>
          </w:tcPr>
          <w:p w14:paraId="21C7BDC1" w14:textId="046A8449" w:rsidR="0037147E" w:rsidRPr="009F50A1" w:rsidRDefault="00E63D34" w:rsidP="0092022E">
            <w:pPr>
              <w:spacing w:after="40"/>
              <w:rPr>
                <w:rFonts w:ascii="Calibri" w:eastAsia="Times New Roman" w:hAnsi="Calibri" w:cs="Calibri"/>
                <w:color w:val="0D0D0D"/>
                <w:kern w:val="0"/>
                <w:sz w:val="20"/>
                <w:szCs w:val="20"/>
                <w:lang w:eastAsia="fr-FR"/>
                <w14:ligatures w14:val="none"/>
              </w:rPr>
            </w:pPr>
            <w:r w:rsidRPr="00E63D34">
              <w:rPr>
                <w:rFonts w:ascii="Calibri" w:eastAsia="Times New Roman" w:hAnsi="Calibri" w:cs="Calibri"/>
                <w:color w:val="0D0D0D"/>
                <w:kern w:val="0"/>
                <w:sz w:val="20"/>
                <w:szCs w:val="20"/>
                <w:lang w:eastAsia="fr-FR"/>
                <w14:ligatures w14:val="none"/>
              </w:rPr>
              <w:t>NRTC</w:t>
            </w:r>
            <w:r w:rsidR="0037147E" w:rsidRPr="00780CE5">
              <w:rPr>
                <w:rFonts w:ascii="Calibri" w:eastAsia="Times New Roman" w:hAnsi="Calibri" w:cs="Calibri"/>
                <w:color w:val="0D0D0D"/>
                <w:kern w:val="0"/>
                <w:sz w:val="20"/>
                <w:szCs w:val="20"/>
                <w:lang w:eastAsia="fr-FR"/>
                <w14:ligatures w14:val="none"/>
              </w:rPr>
              <w:t xml:space="preserve"> Iraq portal, MoF or SOMO websites</w:t>
            </w:r>
          </w:p>
        </w:tc>
      </w:tr>
    </w:tbl>
    <w:p w14:paraId="7D8E748D" w14:textId="071EB30E" w:rsidR="00516C37" w:rsidRPr="00E015E4" w:rsidRDefault="005F017B" w:rsidP="00516C37">
      <w:pPr>
        <w:pStyle w:val="Heading4"/>
        <w:spacing w:before="120" w:after="120"/>
        <w:rPr>
          <w:rFonts w:ascii="Kohinoor Devanagari" w:hAnsi="Kohinoor Devanagari" w:cs="Kohinoor Devanagari"/>
          <w:b/>
          <w:bCs/>
          <w:sz w:val="22"/>
          <w:szCs w:val="22"/>
        </w:rPr>
      </w:pPr>
      <w:r>
        <w:rPr>
          <w:rFonts w:ascii="Kohinoor Devanagari" w:hAnsi="Kohinoor Devanagari" w:cs="Kohinoor Devanagari"/>
          <w:b/>
          <w:bCs/>
          <w:sz w:val="22"/>
          <w:szCs w:val="22"/>
        </w:rPr>
        <w:t xml:space="preserve">5.3. </w:t>
      </w:r>
      <w:r w:rsidR="00516C37" w:rsidRPr="00E015E4">
        <w:rPr>
          <w:rFonts w:ascii="Kohinoor Devanagari" w:hAnsi="Kohinoor Devanagari" w:cs="Kohinoor Devanagari"/>
          <w:b/>
          <w:bCs/>
          <w:sz w:val="22"/>
          <w:szCs w:val="22"/>
        </w:rPr>
        <w:t>Transactions Related to State-Owned Enterprises (Requirement 4.5)</w:t>
      </w:r>
    </w:p>
    <w:p w14:paraId="5D1A3AEF" w14:textId="77777777" w:rsidR="00516C37" w:rsidRPr="00E015E4" w:rsidRDefault="00516C37" w:rsidP="00516C37">
      <w:pPr>
        <w:rPr>
          <w:rFonts w:ascii="Kohinoor Devanagari" w:hAnsi="Kohinoor Devanagari" w:cs="Kohinoor Devanagari"/>
          <w:b/>
          <w:bCs/>
          <w:sz w:val="22"/>
          <w:szCs w:val="22"/>
        </w:rPr>
      </w:pPr>
      <w:r w:rsidRPr="00E015E4">
        <w:rPr>
          <w:rFonts w:ascii="Kohinoor Devanagari" w:hAnsi="Kohinoor Devanagari" w:cs="Kohinoor Devanagari"/>
          <w:b/>
          <w:bCs/>
          <w:sz w:val="22"/>
          <w:szCs w:val="22"/>
        </w:rPr>
        <w:t>Objective</w:t>
      </w:r>
    </w:p>
    <w:p w14:paraId="5253CA73" w14:textId="77777777" w:rsidR="00516C37" w:rsidRPr="00E015E4" w:rsidRDefault="00516C37" w:rsidP="00516C37">
      <w:pPr>
        <w:spacing w:before="120" w:after="120" w:line="240" w:lineRule="auto"/>
        <w:rPr>
          <w:rFonts w:ascii="Kohinoor Devanagari" w:hAnsi="Kohinoor Devanagari" w:cs="Kohinoor Devanagari"/>
          <w:sz w:val="22"/>
          <w:szCs w:val="22"/>
        </w:rPr>
      </w:pPr>
      <w:r w:rsidRPr="00E015E4">
        <w:rPr>
          <w:rFonts w:ascii="Kohinoor Devanagari" w:hAnsi="Kohinoor Devanagari" w:cs="Kohinoor Devanagari"/>
          <w:sz w:val="22"/>
          <w:szCs w:val="22"/>
        </w:rPr>
        <w:t>This section ensures transparency in financial transactions between the state, state-owned enterprises (SOEs), and private companies, enabling:</w:t>
      </w:r>
    </w:p>
    <w:p w14:paraId="738A7FA2" w14:textId="77777777" w:rsidR="00516C37" w:rsidRPr="00E015E4" w:rsidRDefault="00516C37" w:rsidP="00516C37">
      <w:pPr>
        <w:numPr>
          <w:ilvl w:val="0"/>
          <w:numId w:val="68"/>
        </w:numPr>
        <w:spacing w:before="120" w:after="120" w:line="240" w:lineRule="auto"/>
        <w:rPr>
          <w:rFonts w:ascii="Kohinoor Devanagari" w:hAnsi="Kohinoor Devanagari" w:cs="Kohinoor Devanagari"/>
          <w:sz w:val="22"/>
          <w:szCs w:val="22"/>
        </w:rPr>
      </w:pPr>
      <w:r w:rsidRPr="00E015E4">
        <w:rPr>
          <w:rFonts w:ascii="Kohinoor Devanagari" w:hAnsi="Kohinoor Devanagari" w:cs="Kohinoor Devanagari"/>
          <w:sz w:val="22"/>
          <w:szCs w:val="22"/>
        </w:rPr>
        <w:t>Traceability of SOE payments to the government and transfers received from the state.</w:t>
      </w:r>
    </w:p>
    <w:p w14:paraId="234F4C3C" w14:textId="77777777" w:rsidR="00516C37" w:rsidRPr="00E015E4" w:rsidRDefault="00516C37" w:rsidP="00516C37">
      <w:pPr>
        <w:numPr>
          <w:ilvl w:val="0"/>
          <w:numId w:val="68"/>
        </w:numPr>
        <w:spacing w:before="120" w:after="120" w:line="240" w:lineRule="auto"/>
        <w:rPr>
          <w:rFonts w:ascii="Kohinoor Devanagari" w:hAnsi="Kohinoor Devanagari" w:cs="Kohinoor Devanagari"/>
          <w:sz w:val="22"/>
          <w:szCs w:val="22"/>
        </w:rPr>
      </w:pPr>
      <w:r w:rsidRPr="00E015E4">
        <w:rPr>
          <w:rFonts w:ascii="Kohinoor Devanagari" w:hAnsi="Kohinoor Devanagari" w:cs="Kohinoor Devanagari"/>
          <w:sz w:val="22"/>
          <w:szCs w:val="22"/>
        </w:rPr>
        <w:t>Disclosure of internal service payments from the government to national oil companies (NOCs).</w:t>
      </w:r>
    </w:p>
    <w:p w14:paraId="342C604E" w14:textId="77777777" w:rsidR="00516C37" w:rsidRPr="00E015E4" w:rsidRDefault="00516C37" w:rsidP="00516C37">
      <w:pPr>
        <w:numPr>
          <w:ilvl w:val="0"/>
          <w:numId w:val="68"/>
        </w:numPr>
        <w:spacing w:before="120" w:after="120" w:line="240" w:lineRule="auto"/>
        <w:rPr>
          <w:rFonts w:ascii="Kohinoor Devanagari" w:hAnsi="Kohinoor Devanagari" w:cs="Kohinoor Devanagari"/>
          <w:sz w:val="22"/>
          <w:szCs w:val="22"/>
        </w:rPr>
      </w:pPr>
      <w:r w:rsidRPr="00E015E4">
        <w:rPr>
          <w:rFonts w:ascii="Kohinoor Devanagari" w:hAnsi="Kohinoor Devanagari" w:cs="Kohinoor Devanagari"/>
          <w:sz w:val="22"/>
          <w:szCs w:val="22"/>
        </w:rPr>
        <w:t>Public oversight of SOEs’ financial management, including retained earnings and reinvestments.</w:t>
      </w:r>
    </w:p>
    <w:p w14:paraId="1D98C8A8" w14:textId="77777777" w:rsidR="00BF5E6B" w:rsidRDefault="00BF5E6B">
      <w:pPr>
        <w:rPr>
          <w:rFonts w:ascii="Kohinoor Devanagari" w:hAnsi="Kohinoor Devanagari" w:cs="Kohinoor Devanagari"/>
          <w:b/>
          <w:bCs/>
        </w:rPr>
      </w:pPr>
      <w:r>
        <w:rPr>
          <w:rFonts w:ascii="Kohinoor Devanagari" w:hAnsi="Kohinoor Devanagari" w:cs="Kohinoor Devanagari"/>
          <w:b/>
          <w:bCs/>
        </w:rPr>
        <w:br w:type="page"/>
      </w:r>
    </w:p>
    <w:p w14:paraId="25776741" w14:textId="76C5CEBB" w:rsidR="00516C37" w:rsidRPr="00C52386" w:rsidRDefault="00516C37" w:rsidP="00516C37">
      <w:pPr>
        <w:rPr>
          <w:rFonts w:ascii="Kohinoor Devanagari" w:hAnsi="Kohinoor Devanagari" w:cs="Kohinoor Devanagari"/>
          <w:b/>
          <w:bCs/>
          <w:sz w:val="22"/>
          <w:szCs w:val="22"/>
        </w:rPr>
      </w:pPr>
      <w:r w:rsidRPr="00C52386">
        <w:rPr>
          <w:rFonts w:ascii="Kohinoor Devanagari" w:hAnsi="Kohinoor Devanagari" w:cs="Kohinoor Devanagari"/>
          <w:b/>
          <w:bCs/>
          <w:sz w:val="22"/>
          <w:szCs w:val="22"/>
        </w:rPr>
        <w:t>Data Disclosure Requirements</w:t>
      </w:r>
    </w:p>
    <w:tbl>
      <w:tblPr>
        <w:tblStyle w:val="TableGrid"/>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432"/>
        <w:gridCol w:w="1744"/>
        <w:gridCol w:w="1295"/>
        <w:gridCol w:w="1511"/>
        <w:gridCol w:w="1079"/>
        <w:gridCol w:w="1010"/>
        <w:gridCol w:w="1267"/>
      </w:tblGrid>
      <w:tr w:rsidR="00A31CD8" w:rsidRPr="00A31CD8" w14:paraId="7D9DA6D3" w14:textId="77777777" w:rsidTr="00A31CD8">
        <w:trPr>
          <w:tblHeader/>
        </w:trPr>
        <w:tc>
          <w:tcPr>
            <w:tcW w:w="0" w:type="auto"/>
            <w:shd w:val="clear" w:color="auto" w:fill="748A96"/>
            <w:hideMark/>
          </w:tcPr>
          <w:p w14:paraId="70C0F710" w14:textId="77777777" w:rsidR="00516C37" w:rsidRPr="00C52386" w:rsidRDefault="00516C37" w:rsidP="0092022E">
            <w:pPr>
              <w:spacing w:before="40" w:after="40" w:line="278" w:lineRule="auto"/>
              <w:rPr>
                <w:rFonts w:ascii="Calibri" w:hAnsi="Calibri" w:cs="Calibri"/>
                <w:b/>
                <w:bCs/>
                <w:color w:val="FFFFFF" w:themeColor="background1"/>
                <w:sz w:val="20"/>
                <w:szCs w:val="20"/>
              </w:rPr>
            </w:pPr>
            <w:r w:rsidRPr="00C52386">
              <w:rPr>
                <w:rFonts w:ascii="Calibri" w:hAnsi="Calibri" w:cs="Calibri"/>
                <w:b/>
                <w:bCs/>
                <w:color w:val="FFFFFF" w:themeColor="background1"/>
                <w:sz w:val="20"/>
                <w:szCs w:val="20"/>
              </w:rPr>
              <w:t>Data Type</w:t>
            </w:r>
          </w:p>
        </w:tc>
        <w:tc>
          <w:tcPr>
            <w:tcW w:w="0" w:type="auto"/>
            <w:shd w:val="clear" w:color="auto" w:fill="748A96"/>
            <w:hideMark/>
          </w:tcPr>
          <w:p w14:paraId="35D30179" w14:textId="77777777" w:rsidR="00516C37" w:rsidRPr="00C52386" w:rsidRDefault="00516C37" w:rsidP="0092022E">
            <w:pPr>
              <w:spacing w:before="40" w:after="40" w:line="278" w:lineRule="auto"/>
              <w:rPr>
                <w:rFonts w:ascii="Calibri" w:hAnsi="Calibri" w:cs="Calibri"/>
                <w:b/>
                <w:bCs/>
                <w:color w:val="FFFFFF" w:themeColor="background1"/>
                <w:sz w:val="20"/>
                <w:szCs w:val="20"/>
              </w:rPr>
            </w:pPr>
            <w:r w:rsidRPr="00C52386">
              <w:rPr>
                <w:rFonts w:ascii="Calibri" w:hAnsi="Calibri" w:cs="Calibri"/>
                <w:b/>
                <w:bCs/>
                <w:color w:val="FFFFFF" w:themeColor="background1"/>
                <w:sz w:val="20"/>
                <w:szCs w:val="20"/>
              </w:rPr>
              <w:t>Description</w:t>
            </w:r>
          </w:p>
        </w:tc>
        <w:tc>
          <w:tcPr>
            <w:tcW w:w="0" w:type="auto"/>
            <w:shd w:val="clear" w:color="auto" w:fill="748A96"/>
            <w:hideMark/>
          </w:tcPr>
          <w:p w14:paraId="7AEC3EB8" w14:textId="77777777" w:rsidR="00516C37" w:rsidRPr="00C52386" w:rsidRDefault="00516C37" w:rsidP="0092022E">
            <w:pPr>
              <w:spacing w:before="40" w:after="40" w:line="278" w:lineRule="auto"/>
              <w:rPr>
                <w:rFonts w:ascii="Calibri" w:hAnsi="Calibri" w:cs="Calibri"/>
                <w:b/>
                <w:bCs/>
                <w:color w:val="FFFFFF" w:themeColor="background1"/>
                <w:sz w:val="20"/>
                <w:szCs w:val="20"/>
              </w:rPr>
            </w:pPr>
            <w:r w:rsidRPr="00C52386">
              <w:rPr>
                <w:rFonts w:ascii="Calibri" w:hAnsi="Calibri" w:cs="Calibri"/>
                <w:b/>
                <w:bCs/>
                <w:color w:val="FFFFFF" w:themeColor="background1"/>
                <w:sz w:val="20"/>
                <w:szCs w:val="20"/>
              </w:rPr>
              <w:t>Responsible Entities</w:t>
            </w:r>
          </w:p>
        </w:tc>
        <w:tc>
          <w:tcPr>
            <w:tcW w:w="0" w:type="auto"/>
            <w:shd w:val="clear" w:color="auto" w:fill="748A96"/>
            <w:hideMark/>
          </w:tcPr>
          <w:p w14:paraId="542F08C9" w14:textId="77777777" w:rsidR="00516C37" w:rsidRPr="00C52386" w:rsidRDefault="00516C37" w:rsidP="0092022E">
            <w:pPr>
              <w:spacing w:before="40" w:after="40" w:line="278" w:lineRule="auto"/>
              <w:rPr>
                <w:rFonts w:ascii="Calibri" w:hAnsi="Calibri" w:cs="Calibri"/>
                <w:b/>
                <w:bCs/>
                <w:color w:val="FFFFFF" w:themeColor="background1"/>
                <w:sz w:val="20"/>
                <w:szCs w:val="20"/>
              </w:rPr>
            </w:pPr>
            <w:r w:rsidRPr="00C52386">
              <w:rPr>
                <w:rFonts w:ascii="Calibri" w:hAnsi="Calibri" w:cs="Calibri"/>
                <w:b/>
                <w:bCs/>
                <w:color w:val="FFFFFF" w:themeColor="background1"/>
                <w:sz w:val="20"/>
                <w:szCs w:val="20"/>
              </w:rPr>
              <w:t>Disaggregation</w:t>
            </w:r>
          </w:p>
        </w:tc>
        <w:tc>
          <w:tcPr>
            <w:tcW w:w="0" w:type="auto"/>
            <w:shd w:val="clear" w:color="auto" w:fill="748A96"/>
            <w:hideMark/>
          </w:tcPr>
          <w:p w14:paraId="2B70EF3F" w14:textId="77777777" w:rsidR="00516C37" w:rsidRPr="00C52386" w:rsidRDefault="00516C37" w:rsidP="0092022E">
            <w:pPr>
              <w:spacing w:before="40" w:after="40" w:line="278" w:lineRule="auto"/>
              <w:rPr>
                <w:rFonts w:ascii="Calibri" w:hAnsi="Calibri" w:cs="Calibri"/>
                <w:b/>
                <w:bCs/>
                <w:color w:val="FFFFFF" w:themeColor="background1"/>
                <w:sz w:val="20"/>
                <w:szCs w:val="20"/>
              </w:rPr>
            </w:pPr>
            <w:r w:rsidRPr="00C52386">
              <w:rPr>
                <w:rFonts w:ascii="Calibri" w:hAnsi="Calibri" w:cs="Calibri"/>
                <w:b/>
                <w:bCs/>
                <w:color w:val="FFFFFF" w:themeColor="background1"/>
                <w:sz w:val="20"/>
                <w:szCs w:val="20"/>
              </w:rPr>
              <w:t>Frequency</w:t>
            </w:r>
          </w:p>
        </w:tc>
        <w:tc>
          <w:tcPr>
            <w:tcW w:w="0" w:type="auto"/>
            <w:shd w:val="clear" w:color="auto" w:fill="748A96"/>
            <w:hideMark/>
          </w:tcPr>
          <w:p w14:paraId="269710C4" w14:textId="77777777" w:rsidR="00516C37" w:rsidRPr="00C52386" w:rsidRDefault="00516C37" w:rsidP="0092022E">
            <w:pPr>
              <w:spacing w:before="40" w:after="40" w:line="278" w:lineRule="auto"/>
              <w:rPr>
                <w:rFonts w:ascii="Calibri" w:hAnsi="Calibri" w:cs="Calibri"/>
                <w:b/>
                <w:bCs/>
                <w:color w:val="FFFFFF" w:themeColor="background1"/>
                <w:sz w:val="20"/>
                <w:szCs w:val="20"/>
              </w:rPr>
            </w:pPr>
            <w:r w:rsidRPr="00C52386">
              <w:rPr>
                <w:rFonts w:ascii="Calibri" w:hAnsi="Calibri" w:cs="Calibri"/>
                <w:b/>
                <w:bCs/>
                <w:color w:val="FFFFFF" w:themeColor="background1"/>
                <w:sz w:val="20"/>
                <w:szCs w:val="20"/>
              </w:rPr>
              <w:t>Format</w:t>
            </w:r>
          </w:p>
        </w:tc>
        <w:tc>
          <w:tcPr>
            <w:tcW w:w="0" w:type="auto"/>
            <w:shd w:val="clear" w:color="auto" w:fill="748A96"/>
            <w:hideMark/>
          </w:tcPr>
          <w:p w14:paraId="0C6AF09E" w14:textId="77777777" w:rsidR="00516C37" w:rsidRPr="00C52386" w:rsidRDefault="00516C37" w:rsidP="0092022E">
            <w:pPr>
              <w:spacing w:before="40" w:after="40" w:line="278" w:lineRule="auto"/>
              <w:rPr>
                <w:rFonts w:ascii="Calibri" w:hAnsi="Calibri" w:cs="Calibri"/>
                <w:b/>
                <w:bCs/>
                <w:color w:val="FFFFFF" w:themeColor="background1"/>
                <w:sz w:val="20"/>
                <w:szCs w:val="20"/>
              </w:rPr>
            </w:pPr>
            <w:r w:rsidRPr="00C52386">
              <w:rPr>
                <w:rFonts w:ascii="Calibri" w:hAnsi="Calibri" w:cs="Calibri"/>
                <w:b/>
                <w:bCs/>
                <w:color w:val="FFFFFF" w:themeColor="background1"/>
                <w:sz w:val="20"/>
                <w:szCs w:val="20"/>
              </w:rPr>
              <w:t>Publication Channels</w:t>
            </w:r>
          </w:p>
        </w:tc>
      </w:tr>
      <w:tr w:rsidR="00516C37" w:rsidRPr="009F50A1" w14:paraId="3A204C15" w14:textId="77777777" w:rsidTr="0092022E">
        <w:tc>
          <w:tcPr>
            <w:tcW w:w="0" w:type="auto"/>
            <w:hideMark/>
          </w:tcPr>
          <w:p w14:paraId="2415ED28"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Company Payments to SOEs</w:t>
            </w:r>
          </w:p>
        </w:tc>
        <w:tc>
          <w:tcPr>
            <w:tcW w:w="0" w:type="auto"/>
            <w:hideMark/>
          </w:tcPr>
          <w:p w14:paraId="7837DEC9"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Any payments made by private extractive companies to SOEs.</w:t>
            </w:r>
          </w:p>
        </w:tc>
        <w:tc>
          <w:tcPr>
            <w:tcW w:w="0" w:type="auto"/>
            <w:hideMark/>
          </w:tcPr>
          <w:p w14:paraId="126ABB42"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 xml:space="preserve">IOCs, SOEs, </w:t>
            </w:r>
          </w:p>
        </w:tc>
        <w:tc>
          <w:tcPr>
            <w:tcW w:w="0" w:type="auto"/>
            <w:hideMark/>
          </w:tcPr>
          <w:p w14:paraId="239E9EBB"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By company, SOE, payment type</w:t>
            </w:r>
          </w:p>
        </w:tc>
        <w:tc>
          <w:tcPr>
            <w:tcW w:w="0" w:type="auto"/>
            <w:hideMark/>
          </w:tcPr>
          <w:p w14:paraId="173C37EA"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Annually</w:t>
            </w:r>
          </w:p>
        </w:tc>
        <w:tc>
          <w:tcPr>
            <w:tcW w:w="0" w:type="auto"/>
            <w:hideMark/>
          </w:tcPr>
          <w:p w14:paraId="7C39C686" w14:textId="77777777" w:rsidR="00516C37" w:rsidRPr="009F50A1" w:rsidRDefault="00516C37" w:rsidP="0092022E">
            <w:pPr>
              <w:spacing w:before="40" w:after="40" w:line="278" w:lineRule="auto"/>
              <w:rPr>
                <w:rFonts w:ascii="Calibri" w:hAnsi="Calibri" w:cs="Calibri"/>
                <w:sz w:val="20"/>
                <w:szCs w:val="20"/>
              </w:rPr>
            </w:pPr>
            <w:r w:rsidRPr="00ED55ED">
              <w:rPr>
                <w:rFonts w:ascii="Calibri" w:hAnsi="Calibri" w:cs="Calibri"/>
                <w:b/>
                <w:bCs/>
                <w:sz w:val="20"/>
                <w:szCs w:val="20"/>
              </w:rPr>
              <w:t>CSV, HTML</w:t>
            </w:r>
            <w:r w:rsidRPr="00ED55ED">
              <w:rPr>
                <w:rFonts w:ascii="Calibri" w:hAnsi="Calibri" w:cs="Calibri"/>
                <w:sz w:val="20"/>
                <w:szCs w:val="20"/>
              </w:rPr>
              <w:t xml:space="preserve"> (PDF optional)</w:t>
            </w:r>
          </w:p>
        </w:tc>
        <w:tc>
          <w:tcPr>
            <w:tcW w:w="0" w:type="auto"/>
            <w:hideMark/>
          </w:tcPr>
          <w:p w14:paraId="4F81FD90" w14:textId="4338937A" w:rsidR="00516C37" w:rsidRPr="009F50A1" w:rsidRDefault="00E63D34" w:rsidP="0092022E">
            <w:pPr>
              <w:spacing w:before="40" w:after="40" w:line="278" w:lineRule="auto"/>
              <w:rPr>
                <w:rFonts w:ascii="Calibri" w:hAnsi="Calibri" w:cs="Calibri"/>
                <w:sz w:val="20"/>
                <w:szCs w:val="20"/>
              </w:rPr>
            </w:pPr>
            <w:r w:rsidRPr="00E63D34">
              <w:rPr>
                <w:rFonts w:ascii="Calibri" w:hAnsi="Calibri" w:cs="Calibri"/>
                <w:sz w:val="20"/>
                <w:szCs w:val="20"/>
              </w:rPr>
              <w:t>NRTC</w:t>
            </w:r>
            <w:r w:rsidR="00516C37" w:rsidRPr="009F50A1">
              <w:rPr>
                <w:rFonts w:ascii="Calibri" w:hAnsi="Calibri" w:cs="Calibri"/>
                <w:sz w:val="20"/>
                <w:szCs w:val="20"/>
              </w:rPr>
              <w:t xml:space="preserve"> Iraq portal</w:t>
            </w:r>
          </w:p>
          <w:p w14:paraId="48E952F5"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SOEs websites</w:t>
            </w:r>
          </w:p>
        </w:tc>
      </w:tr>
      <w:tr w:rsidR="00516C37" w:rsidRPr="009F50A1" w14:paraId="4D462777" w14:textId="77777777" w:rsidTr="0092022E">
        <w:tc>
          <w:tcPr>
            <w:tcW w:w="0" w:type="auto"/>
            <w:hideMark/>
          </w:tcPr>
          <w:p w14:paraId="04139B9F"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SOE Transfers to Government</w:t>
            </w:r>
          </w:p>
        </w:tc>
        <w:tc>
          <w:tcPr>
            <w:tcW w:w="0" w:type="auto"/>
            <w:hideMark/>
          </w:tcPr>
          <w:p w14:paraId="7F45DC01"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Breakdown of transfers from SOEs to the Treasury, including 60% of distributable income and social care fund contributions.</w:t>
            </w:r>
          </w:p>
        </w:tc>
        <w:tc>
          <w:tcPr>
            <w:tcW w:w="0" w:type="auto"/>
            <w:hideMark/>
          </w:tcPr>
          <w:p w14:paraId="361609E0"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SOEs, Ministry of Finance</w:t>
            </w:r>
          </w:p>
        </w:tc>
        <w:tc>
          <w:tcPr>
            <w:tcW w:w="0" w:type="auto"/>
            <w:hideMark/>
          </w:tcPr>
          <w:p w14:paraId="0685A56E"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By SOE, transfer type</w:t>
            </w:r>
          </w:p>
        </w:tc>
        <w:tc>
          <w:tcPr>
            <w:tcW w:w="0" w:type="auto"/>
            <w:hideMark/>
          </w:tcPr>
          <w:p w14:paraId="50281246"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Annually</w:t>
            </w:r>
          </w:p>
        </w:tc>
        <w:tc>
          <w:tcPr>
            <w:tcW w:w="0" w:type="auto"/>
            <w:hideMark/>
          </w:tcPr>
          <w:p w14:paraId="2C51F2CE" w14:textId="77777777" w:rsidR="00516C37" w:rsidRPr="009F50A1" w:rsidRDefault="00516C37" w:rsidP="0092022E">
            <w:pPr>
              <w:spacing w:before="40" w:after="40" w:line="278" w:lineRule="auto"/>
              <w:rPr>
                <w:rFonts w:ascii="Calibri" w:hAnsi="Calibri" w:cs="Calibri"/>
                <w:sz w:val="20"/>
                <w:szCs w:val="20"/>
              </w:rPr>
            </w:pPr>
            <w:r w:rsidRPr="001B2699">
              <w:rPr>
                <w:rFonts w:ascii="Calibri" w:hAnsi="Calibri" w:cs="Calibri"/>
                <w:sz w:val="20"/>
                <w:szCs w:val="20"/>
              </w:rPr>
              <w:t>CSV, HTML</w:t>
            </w:r>
          </w:p>
        </w:tc>
        <w:tc>
          <w:tcPr>
            <w:tcW w:w="0" w:type="auto"/>
            <w:hideMark/>
          </w:tcPr>
          <w:p w14:paraId="5EDC8779" w14:textId="008D24D5" w:rsidR="00516C37" w:rsidRPr="009F50A1" w:rsidRDefault="00E63D34" w:rsidP="0092022E">
            <w:pPr>
              <w:spacing w:before="40" w:after="40" w:line="278" w:lineRule="auto"/>
              <w:rPr>
                <w:rFonts w:ascii="Calibri" w:hAnsi="Calibri" w:cs="Calibri"/>
                <w:sz w:val="20"/>
                <w:szCs w:val="20"/>
              </w:rPr>
            </w:pPr>
            <w:r w:rsidRPr="00E63D34">
              <w:rPr>
                <w:rFonts w:ascii="Calibri" w:hAnsi="Calibri" w:cs="Calibri"/>
                <w:sz w:val="20"/>
                <w:szCs w:val="20"/>
              </w:rPr>
              <w:t>NRTC</w:t>
            </w:r>
            <w:r w:rsidR="00516C37" w:rsidRPr="009F50A1">
              <w:rPr>
                <w:rFonts w:ascii="Calibri" w:hAnsi="Calibri" w:cs="Calibri"/>
                <w:sz w:val="20"/>
                <w:szCs w:val="20"/>
              </w:rPr>
              <w:t xml:space="preserve"> Iraq portal, Ministry of Finance website</w:t>
            </w:r>
          </w:p>
        </w:tc>
      </w:tr>
      <w:tr w:rsidR="00516C37" w:rsidRPr="009F50A1" w14:paraId="5F750590" w14:textId="77777777" w:rsidTr="0092022E">
        <w:tc>
          <w:tcPr>
            <w:tcW w:w="0" w:type="auto"/>
            <w:hideMark/>
          </w:tcPr>
          <w:p w14:paraId="1764D966"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Government Transfers to SOEs</w:t>
            </w:r>
          </w:p>
        </w:tc>
        <w:tc>
          <w:tcPr>
            <w:tcW w:w="0" w:type="auto"/>
            <w:hideMark/>
          </w:tcPr>
          <w:p w14:paraId="12F4D761"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Financial transfers from the government to SOEs, including internal service payments, grants and finding..</w:t>
            </w:r>
          </w:p>
        </w:tc>
        <w:tc>
          <w:tcPr>
            <w:tcW w:w="0" w:type="auto"/>
            <w:hideMark/>
          </w:tcPr>
          <w:p w14:paraId="55F755FD"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Ministry of Oil, Ministry of Finance</w:t>
            </w:r>
          </w:p>
        </w:tc>
        <w:tc>
          <w:tcPr>
            <w:tcW w:w="0" w:type="auto"/>
            <w:hideMark/>
          </w:tcPr>
          <w:p w14:paraId="0CAABC21"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By SOE, payment type</w:t>
            </w:r>
          </w:p>
        </w:tc>
        <w:tc>
          <w:tcPr>
            <w:tcW w:w="0" w:type="auto"/>
            <w:hideMark/>
          </w:tcPr>
          <w:p w14:paraId="0D000313"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Annually</w:t>
            </w:r>
          </w:p>
        </w:tc>
        <w:tc>
          <w:tcPr>
            <w:tcW w:w="0" w:type="auto"/>
            <w:hideMark/>
          </w:tcPr>
          <w:p w14:paraId="5482B583" w14:textId="77777777" w:rsidR="00516C37" w:rsidRPr="009F50A1" w:rsidRDefault="00516C37" w:rsidP="0092022E">
            <w:pPr>
              <w:spacing w:before="40" w:after="40" w:line="278" w:lineRule="auto"/>
              <w:rPr>
                <w:rFonts w:ascii="Calibri" w:hAnsi="Calibri" w:cs="Calibri"/>
                <w:sz w:val="20"/>
                <w:szCs w:val="20"/>
              </w:rPr>
            </w:pPr>
            <w:r w:rsidRPr="001B2699">
              <w:rPr>
                <w:rFonts w:ascii="Calibri" w:hAnsi="Calibri" w:cs="Calibri"/>
                <w:sz w:val="20"/>
                <w:szCs w:val="20"/>
              </w:rPr>
              <w:t>CSV, HTML</w:t>
            </w:r>
          </w:p>
        </w:tc>
        <w:tc>
          <w:tcPr>
            <w:tcW w:w="0" w:type="auto"/>
            <w:hideMark/>
          </w:tcPr>
          <w:p w14:paraId="357A329D"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 xml:space="preserve">MoF </w:t>
            </w:r>
            <w:proofErr w:type="spellStart"/>
            <w:r w:rsidRPr="009F50A1">
              <w:rPr>
                <w:rFonts w:ascii="Calibri" w:hAnsi="Calibri" w:cs="Calibri"/>
                <w:sz w:val="20"/>
                <w:szCs w:val="20"/>
              </w:rPr>
              <w:t>webite</w:t>
            </w:r>
            <w:proofErr w:type="spellEnd"/>
          </w:p>
          <w:p w14:paraId="2BF48A93" w14:textId="79833270" w:rsidR="00516C37" w:rsidRPr="009F50A1" w:rsidRDefault="00E63D34" w:rsidP="0092022E">
            <w:pPr>
              <w:spacing w:before="40" w:after="40" w:line="278" w:lineRule="auto"/>
              <w:rPr>
                <w:rFonts w:ascii="Calibri" w:hAnsi="Calibri" w:cs="Calibri"/>
                <w:sz w:val="20"/>
                <w:szCs w:val="20"/>
              </w:rPr>
            </w:pPr>
            <w:r w:rsidRPr="00E63D34">
              <w:rPr>
                <w:rFonts w:ascii="Calibri" w:hAnsi="Calibri" w:cs="Calibri"/>
                <w:sz w:val="20"/>
                <w:szCs w:val="20"/>
              </w:rPr>
              <w:t>NRTC</w:t>
            </w:r>
            <w:r w:rsidR="00516C37" w:rsidRPr="009F50A1">
              <w:rPr>
                <w:rFonts w:ascii="Calibri" w:hAnsi="Calibri" w:cs="Calibri"/>
                <w:sz w:val="20"/>
                <w:szCs w:val="20"/>
              </w:rPr>
              <w:t xml:space="preserve"> Iraq portal</w:t>
            </w:r>
          </w:p>
        </w:tc>
      </w:tr>
      <w:tr w:rsidR="00516C37" w:rsidRPr="009F50A1" w14:paraId="472BF226" w14:textId="77777777" w:rsidTr="0092022E">
        <w:tc>
          <w:tcPr>
            <w:tcW w:w="0" w:type="auto"/>
            <w:hideMark/>
          </w:tcPr>
          <w:p w14:paraId="27634F30"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Internal Service Payments to NOCs</w:t>
            </w:r>
          </w:p>
        </w:tc>
        <w:tc>
          <w:tcPr>
            <w:tcW w:w="0" w:type="auto"/>
            <w:hideMark/>
          </w:tcPr>
          <w:p w14:paraId="27E1B12A"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Amounts paid by the government via SOMO to cover NOC production costs.</w:t>
            </w:r>
          </w:p>
        </w:tc>
        <w:tc>
          <w:tcPr>
            <w:tcW w:w="0" w:type="auto"/>
            <w:hideMark/>
          </w:tcPr>
          <w:p w14:paraId="18567219"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SOMO, Ministry of Oil, SOEs</w:t>
            </w:r>
          </w:p>
        </w:tc>
        <w:tc>
          <w:tcPr>
            <w:tcW w:w="0" w:type="auto"/>
            <w:hideMark/>
          </w:tcPr>
          <w:p w14:paraId="4763FAC1"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By SOE, project</w:t>
            </w:r>
          </w:p>
        </w:tc>
        <w:tc>
          <w:tcPr>
            <w:tcW w:w="0" w:type="auto"/>
            <w:hideMark/>
          </w:tcPr>
          <w:p w14:paraId="61979780"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Annually</w:t>
            </w:r>
          </w:p>
        </w:tc>
        <w:tc>
          <w:tcPr>
            <w:tcW w:w="0" w:type="auto"/>
            <w:hideMark/>
          </w:tcPr>
          <w:p w14:paraId="0F9BFE17" w14:textId="77777777" w:rsidR="00516C37" w:rsidRPr="009F50A1" w:rsidRDefault="00516C37" w:rsidP="0092022E">
            <w:pPr>
              <w:spacing w:before="40" w:after="40" w:line="278" w:lineRule="auto"/>
              <w:rPr>
                <w:rFonts w:ascii="Calibri" w:hAnsi="Calibri" w:cs="Calibri"/>
                <w:sz w:val="20"/>
                <w:szCs w:val="20"/>
              </w:rPr>
            </w:pPr>
            <w:r w:rsidRPr="001B2699">
              <w:rPr>
                <w:rFonts w:ascii="Calibri" w:hAnsi="Calibri" w:cs="Calibri"/>
                <w:b/>
                <w:bCs/>
                <w:sz w:val="20"/>
                <w:szCs w:val="20"/>
              </w:rPr>
              <w:t>CSV, HTML</w:t>
            </w:r>
            <w:r w:rsidRPr="001B2699">
              <w:rPr>
                <w:rFonts w:ascii="Calibri" w:hAnsi="Calibri" w:cs="Calibri"/>
                <w:sz w:val="20"/>
                <w:szCs w:val="20"/>
              </w:rPr>
              <w:t xml:space="preserve"> (PDF optional)</w:t>
            </w:r>
          </w:p>
        </w:tc>
        <w:tc>
          <w:tcPr>
            <w:tcW w:w="0" w:type="auto"/>
            <w:hideMark/>
          </w:tcPr>
          <w:p w14:paraId="6E6F841B" w14:textId="7B7FF53D" w:rsidR="00516C37" w:rsidRPr="009F50A1" w:rsidRDefault="00E63D34" w:rsidP="0092022E">
            <w:pPr>
              <w:spacing w:before="40" w:after="40" w:line="278" w:lineRule="auto"/>
              <w:rPr>
                <w:rFonts w:ascii="Calibri" w:hAnsi="Calibri" w:cs="Calibri"/>
                <w:sz w:val="20"/>
                <w:szCs w:val="20"/>
              </w:rPr>
            </w:pPr>
            <w:r w:rsidRPr="00E63D34">
              <w:rPr>
                <w:rFonts w:ascii="Calibri" w:hAnsi="Calibri" w:cs="Calibri"/>
                <w:sz w:val="20"/>
                <w:szCs w:val="20"/>
              </w:rPr>
              <w:t>NRTC</w:t>
            </w:r>
            <w:r w:rsidR="00516C37" w:rsidRPr="009F50A1">
              <w:rPr>
                <w:rFonts w:ascii="Calibri" w:hAnsi="Calibri" w:cs="Calibri"/>
                <w:sz w:val="20"/>
                <w:szCs w:val="20"/>
              </w:rPr>
              <w:t xml:space="preserve"> Iraq portal</w:t>
            </w:r>
          </w:p>
        </w:tc>
      </w:tr>
      <w:tr w:rsidR="00516C37" w:rsidRPr="009F50A1" w14:paraId="28D76723" w14:textId="77777777" w:rsidTr="0092022E">
        <w:tc>
          <w:tcPr>
            <w:tcW w:w="0" w:type="auto"/>
            <w:hideMark/>
          </w:tcPr>
          <w:p w14:paraId="7BF57CD5"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SOE Sales of Crude Oil to Domestic Market</w:t>
            </w:r>
          </w:p>
        </w:tc>
        <w:tc>
          <w:tcPr>
            <w:tcW w:w="0" w:type="auto"/>
            <w:hideMark/>
          </w:tcPr>
          <w:p w14:paraId="13C30033"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Volumes and values of crude oil transfers from SOEs to refineries and power plants.</w:t>
            </w:r>
          </w:p>
        </w:tc>
        <w:tc>
          <w:tcPr>
            <w:tcW w:w="0" w:type="auto"/>
            <w:hideMark/>
          </w:tcPr>
          <w:p w14:paraId="3AEB7214"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SOEs, Ministry of Oil</w:t>
            </w:r>
          </w:p>
        </w:tc>
        <w:tc>
          <w:tcPr>
            <w:tcW w:w="0" w:type="auto"/>
            <w:hideMark/>
          </w:tcPr>
          <w:p w14:paraId="75844307"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By SOE, buyer</w:t>
            </w:r>
          </w:p>
        </w:tc>
        <w:tc>
          <w:tcPr>
            <w:tcW w:w="0" w:type="auto"/>
            <w:hideMark/>
          </w:tcPr>
          <w:p w14:paraId="6E0C549B"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Annually</w:t>
            </w:r>
          </w:p>
        </w:tc>
        <w:tc>
          <w:tcPr>
            <w:tcW w:w="0" w:type="auto"/>
            <w:hideMark/>
          </w:tcPr>
          <w:p w14:paraId="6A16C241" w14:textId="77777777" w:rsidR="00516C37" w:rsidRPr="009F50A1" w:rsidRDefault="00516C37" w:rsidP="0092022E">
            <w:pPr>
              <w:spacing w:before="40" w:after="40" w:line="278" w:lineRule="auto"/>
              <w:rPr>
                <w:rFonts w:ascii="Calibri" w:hAnsi="Calibri" w:cs="Calibri"/>
                <w:sz w:val="20"/>
                <w:szCs w:val="20"/>
              </w:rPr>
            </w:pPr>
            <w:r w:rsidRPr="001B2699">
              <w:rPr>
                <w:rFonts w:ascii="Calibri" w:hAnsi="Calibri" w:cs="Calibri"/>
                <w:sz w:val="20"/>
                <w:szCs w:val="20"/>
              </w:rPr>
              <w:t>CSV, HTML</w:t>
            </w:r>
          </w:p>
        </w:tc>
        <w:tc>
          <w:tcPr>
            <w:tcW w:w="0" w:type="auto"/>
            <w:hideMark/>
          </w:tcPr>
          <w:p w14:paraId="062732E0" w14:textId="3BF3F5A9" w:rsidR="00516C37" w:rsidRPr="009F50A1" w:rsidRDefault="00E63D34" w:rsidP="0092022E">
            <w:pPr>
              <w:spacing w:before="40" w:after="40" w:line="278" w:lineRule="auto"/>
              <w:rPr>
                <w:rFonts w:ascii="Calibri" w:hAnsi="Calibri" w:cs="Calibri"/>
                <w:sz w:val="20"/>
                <w:szCs w:val="20"/>
              </w:rPr>
            </w:pPr>
            <w:r w:rsidRPr="00E63D34">
              <w:rPr>
                <w:rFonts w:ascii="Calibri" w:hAnsi="Calibri" w:cs="Calibri"/>
                <w:sz w:val="20"/>
                <w:szCs w:val="20"/>
              </w:rPr>
              <w:t>NRTC</w:t>
            </w:r>
            <w:r w:rsidR="00516C37" w:rsidRPr="009F50A1">
              <w:rPr>
                <w:rFonts w:ascii="Calibri" w:hAnsi="Calibri" w:cs="Calibri"/>
                <w:sz w:val="20"/>
                <w:szCs w:val="20"/>
              </w:rPr>
              <w:t xml:space="preserve"> Iraq portal</w:t>
            </w:r>
          </w:p>
        </w:tc>
      </w:tr>
      <w:tr w:rsidR="00516C37" w:rsidRPr="009F50A1" w14:paraId="057EB62B" w14:textId="77777777" w:rsidTr="0092022E">
        <w:tc>
          <w:tcPr>
            <w:tcW w:w="0" w:type="auto"/>
            <w:hideMark/>
          </w:tcPr>
          <w:p w14:paraId="6A9C602F"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SOE Retained Earnings and Reinvestment</w:t>
            </w:r>
          </w:p>
        </w:tc>
        <w:tc>
          <w:tcPr>
            <w:tcW w:w="0" w:type="auto"/>
            <w:hideMark/>
          </w:tcPr>
          <w:p w14:paraId="0C22ED4E"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Disclosure of profits retained by SOEs and their reinvestment strategies.</w:t>
            </w:r>
          </w:p>
        </w:tc>
        <w:tc>
          <w:tcPr>
            <w:tcW w:w="0" w:type="auto"/>
            <w:hideMark/>
          </w:tcPr>
          <w:p w14:paraId="32F670F9"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SOEs, Ministry of Finance</w:t>
            </w:r>
          </w:p>
        </w:tc>
        <w:tc>
          <w:tcPr>
            <w:tcW w:w="0" w:type="auto"/>
            <w:hideMark/>
          </w:tcPr>
          <w:p w14:paraId="3358DDAB"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By SOE, reinvestment type</w:t>
            </w:r>
          </w:p>
        </w:tc>
        <w:tc>
          <w:tcPr>
            <w:tcW w:w="0" w:type="auto"/>
            <w:hideMark/>
          </w:tcPr>
          <w:p w14:paraId="733CC175" w14:textId="77777777" w:rsidR="00516C37" w:rsidRPr="009F50A1" w:rsidRDefault="00516C37" w:rsidP="0092022E">
            <w:pPr>
              <w:spacing w:before="40" w:after="40" w:line="278" w:lineRule="auto"/>
              <w:rPr>
                <w:rFonts w:ascii="Calibri" w:hAnsi="Calibri" w:cs="Calibri"/>
                <w:sz w:val="20"/>
                <w:szCs w:val="20"/>
              </w:rPr>
            </w:pPr>
            <w:r w:rsidRPr="009F50A1">
              <w:rPr>
                <w:rFonts w:ascii="Calibri" w:hAnsi="Calibri" w:cs="Calibri"/>
                <w:sz w:val="20"/>
                <w:szCs w:val="20"/>
              </w:rPr>
              <w:t>Annually</w:t>
            </w:r>
          </w:p>
        </w:tc>
        <w:tc>
          <w:tcPr>
            <w:tcW w:w="0" w:type="auto"/>
            <w:hideMark/>
          </w:tcPr>
          <w:p w14:paraId="7CD6AB9F" w14:textId="77777777" w:rsidR="00516C37" w:rsidRPr="009F50A1" w:rsidRDefault="00516C37" w:rsidP="0092022E">
            <w:pPr>
              <w:spacing w:before="40" w:after="40" w:line="278" w:lineRule="auto"/>
              <w:rPr>
                <w:rFonts w:ascii="Calibri" w:hAnsi="Calibri" w:cs="Calibri"/>
                <w:sz w:val="20"/>
                <w:szCs w:val="20"/>
              </w:rPr>
            </w:pPr>
            <w:r w:rsidRPr="001B2699">
              <w:rPr>
                <w:rFonts w:ascii="Calibri" w:hAnsi="Calibri" w:cs="Calibri"/>
                <w:sz w:val="20"/>
                <w:szCs w:val="20"/>
              </w:rPr>
              <w:t>CSV, HTML</w:t>
            </w:r>
          </w:p>
        </w:tc>
        <w:tc>
          <w:tcPr>
            <w:tcW w:w="0" w:type="auto"/>
            <w:hideMark/>
          </w:tcPr>
          <w:p w14:paraId="5282F85C" w14:textId="3ABA0707" w:rsidR="00516C37" w:rsidRPr="009F50A1" w:rsidRDefault="00E63D34" w:rsidP="0092022E">
            <w:pPr>
              <w:spacing w:before="40" w:after="40" w:line="278" w:lineRule="auto"/>
              <w:rPr>
                <w:rFonts w:ascii="Calibri" w:hAnsi="Calibri" w:cs="Calibri"/>
                <w:sz w:val="20"/>
                <w:szCs w:val="20"/>
              </w:rPr>
            </w:pPr>
            <w:r w:rsidRPr="00E63D34">
              <w:rPr>
                <w:rFonts w:ascii="Calibri" w:hAnsi="Calibri" w:cs="Calibri"/>
                <w:sz w:val="20"/>
                <w:szCs w:val="20"/>
              </w:rPr>
              <w:t>NRTC</w:t>
            </w:r>
            <w:r w:rsidR="00516C37" w:rsidRPr="009F50A1">
              <w:rPr>
                <w:rFonts w:ascii="Calibri" w:hAnsi="Calibri" w:cs="Calibri"/>
                <w:sz w:val="20"/>
                <w:szCs w:val="20"/>
              </w:rPr>
              <w:t xml:space="preserve"> Iraq portal</w:t>
            </w:r>
          </w:p>
        </w:tc>
      </w:tr>
    </w:tbl>
    <w:p w14:paraId="4B35B292" w14:textId="77777777" w:rsidR="0059050A" w:rsidRDefault="0059050A" w:rsidP="00516C37">
      <w:pPr>
        <w:rPr>
          <w:rFonts w:ascii="Kohinoor Devanagari" w:hAnsi="Kohinoor Devanagari" w:cs="Kohinoor Devanagari"/>
          <w:b/>
          <w:bCs/>
          <w:sz w:val="22"/>
          <w:szCs w:val="22"/>
        </w:rPr>
      </w:pPr>
    </w:p>
    <w:p w14:paraId="2827FF44" w14:textId="77777777" w:rsidR="00BF5E6B" w:rsidRDefault="00BF5E6B">
      <w:pPr>
        <w:rPr>
          <w:rFonts w:ascii="Kohinoor Devanagari" w:eastAsiaTheme="majorEastAsia" w:hAnsi="Kohinoor Devanagari" w:cs="Kohinoor Devanagari"/>
          <w:b/>
          <w:bCs/>
          <w:i/>
          <w:iCs/>
          <w:color w:val="0F4761" w:themeColor="accent1" w:themeShade="BF"/>
          <w:sz w:val="22"/>
          <w:szCs w:val="22"/>
        </w:rPr>
      </w:pPr>
      <w:r>
        <w:rPr>
          <w:rFonts w:ascii="Kohinoor Devanagari" w:hAnsi="Kohinoor Devanagari" w:cs="Kohinoor Devanagari"/>
          <w:b/>
          <w:bCs/>
          <w:sz w:val="22"/>
          <w:szCs w:val="22"/>
        </w:rPr>
        <w:br w:type="page"/>
      </w:r>
    </w:p>
    <w:p w14:paraId="45992F11" w14:textId="3D98C0C4" w:rsidR="0059050A" w:rsidRPr="000119CB" w:rsidRDefault="005F017B" w:rsidP="0059050A">
      <w:pPr>
        <w:pStyle w:val="Heading4"/>
        <w:spacing w:before="120" w:after="120"/>
        <w:rPr>
          <w:rFonts w:ascii="Kohinoor Devanagari" w:hAnsi="Kohinoor Devanagari" w:cs="Kohinoor Devanagari"/>
          <w:b/>
          <w:bCs/>
          <w:sz w:val="22"/>
          <w:szCs w:val="22"/>
        </w:rPr>
      </w:pPr>
      <w:r>
        <w:rPr>
          <w:rFonts w:ascii="Kohinoor Devanagari" w:hAnsi="Kohinoor Devanagari" w:cs="Kohinoor Devanagari"/>
          <w:b/>
          <w:bCs/>
          <w:sz w:val="22"/>
          <w:szCs w:val="22"/>
        </w:rPr>
        <w:t xml:space="preserve">5.4. </w:t>
      </w:r>
      <w:r w:rsidR="0059050A" w:rsidRPr="000119CB">
        <w:rPr>
          <w:rFonts w:ascii="Kohinoor Devanagari" w:hAnsi="Kohinoor Devanagari" w:cs="Kohinoor Devanagari"/>
          <w:b/>
          <w:bCs/>
          <w:sz w:val="22"/>
          <w:szCs w:val="22"/>
        </w:rPr>
        <w:t>Quasi-Fiscal Expenditures (Requirement 6.2)</w:t>
      </w:r>
    </w:p>
    <w:p w14:paraId="20AF7DAA" w14:textId="77777777" w:rsidR="0059050A" w:rsidRPr="000119CB" w:rsidRDefault="0059050A" w:rsidP="0059050A">
      <w:pPr>
        <w:rPr>
          <w:rFonts w:ascii="Kohinoor Devanagari" w:eastAsia="Times New Roman" w:hAnsi="Kohinoor Devanagari" w:cs="Kohinoor Devanagari"/>
          <w:b/>
          <w:bCs/>
          <w:color w:val="0D0D0D"/>
          <w:kern w:val="0"/>
          <w:sz w:val="22"/>
          <w:szCs w:val="22"/>
          <w:lang w:eastAsia="fr-FR"/>
          <w14:ligatures w14:val="none"/>
        </w:rPr>
      </w:pPr>
      <w:r w:rsidRPr="000119CB">
        <w:rPr>
          <w:rFonts w:ascii="Kohinoor Devanagari" w:eastAsia="Times New Roman" w:hAnsi="Kohinoor Devanagari" w:cs="Kohinoor Devanagari"/>
          <w:b/>
          <w:bCs/>
          <w:color w:val="0D0D0D"/>
          <w:kern w:val="0"/>
          <w:sz w:val="22"/>
          <w:szCs w:val="22"/>
          <w:lang w:eastAsia="fr-FR"/>
          <w14:ligatures w14:val="none"/>
        </w:rPr>
        <w:t>Objective</w:t>
      </w:r>
    </w:p>
    <w:p w14:paraId="0774981C" w14:textId="77777777" w:rsidR="0059050A" w:rsidRPr="000119CB" w:rsidRDefault="0059050A" w:rsidP="0059050A">
      <w:pPr>
        <w:rPr>
          <w:rFonts w:ascii="Kohinoor Devanagari" w:eastAsia="Times New Roman" w:hAnsi="Kohinoor Devanagari" w:cs="Kohinoor Devanagari"/>
          <w:color w:val="0D0D0D"/>
          <w:kern w:val="0"/>
          <w:sz w:val="22"/>
          <w:szCs w:val="22"/>
          <w:lang w:val="fr-FR" w:eastAsia="fr-FR"/>
          <w14:ligatures w14:val="none"/>
        </w:rPr>
      </w:pPr>
      <w:r w:rsidRPr="000119CB">
        <w:rPr>
          <w:rFonts w:ascii="Kohinoor Devanagari" w:eastAsia="Times New Roman" w:hAnsi="Kohinoor Devanagari" w:cs="Kohinoor Devanagari"/>
          <w:color w:val="0D0D0D"/>
          <w:kern w:val="0"/>
          <w:sz w:val="22"/>
          <w:szCs w:val="22"/>
          <w:lang w:eastAsia="fr-FR"/>
          <w14:ligatures w14:val="none"/>
        </w:rPr>
        <w:t xml:space="preserve">This section ensures transparency in quasi-fiscal expenditures (QFEs) made by state-owned enterprises (SOEs) that are not recorded in the national budget. </w:t>
      </w:r>
      <w:r w:rsidRPr="000119CB">
        <w:rPr>
          <w:rFonts w:ascii="Kohinoor Devanagari" w:eastAsia="Times New Roman" w:hAnsi="Kohinoor Devanagari" w:cs="Kohinoor Devanagari"/>
          <w:color w:val="0D0D0D"/>
          <w:kern w:val="0"/>
          <w:sz w:val="22"/>
          <w:szCs w:val="22"/>
          <w:lang w:val="fr-FR" w:eastAsia="fr-FR"/>
          <w14:ligatures w14:val="none"/>
        </w:rPr>
        <w:t xml:space="preserve">The goal </w:t>
      </w:r>
      <w:proofErr w:type="spellStart"/>
      <w:r w:rsidRPr="000119CB">
        <w:rPr>
          <w:rFonts w:ascii="Kohinoor Devanagari" w:eastAsia="Times New Roman" w:hAnsi="Kohinoor Devanagari" w:cs="Kohinoor Devanagari"/>
          <w:color w:val="0D0D0D"/>
          <w:kern w:val="0"/>
          <w:sz w:val="22"/>
          <w:szCs w:val="22"/>
          <w:lang w:val="fr-FR" w:eastAsia="fr-FR"/>
          <w14:ligatures w14:val="none"/>
        </w:rPr>
        <w:t>is</w:t>
      </w:r>
      <w:proofErr w:type="spellEnd"/>
      <w:r w:rsidRPr="000119CB">
        <w:rPr>
          <w:rFonts w:ascii="Kohinoor Devanagari" w:eastAsia="Times New Roman" w:hAnsi="Kohinoor Devanagari" w:cs="Kohinoor Devanagari"/>
          <w:color w:val="0D0D0D"/>
          <w:kern w:val="0"/>
          <w:sz w:val="22"/>
          <w:szCs w:val="22"/>
          <w:lang w:val="fr-FR" w:eastAsia="fr-FR"/>
          <w14:ligatures w14:val="none"/>
        </w:rPr>
        <w:t xml:space="preserve"> to:</w:t>
      </w:r>
    </w:p>
    <w:p w14:paraId="1EFC2A3D" w14:textId="77777777" w:rsidR="0059050A" w:rsidRPr="000119CB" w:rsidRDefault="0059050A" w:rsidP="0059050A">
      <w:pPr>
        <w:numPr>
          <w:ilvl w:val="0"/>
          <w:numId w:val="61"/>
        </w:numPr>
        <w:rPr>
          <w:rFonts w:ascii="Kohinoor Devanagari" w:eastAsia="Times New Roman" w:hAnsi="Kohinoor Devanagari" w:cs="Kohinoor Devanagari"/>
          <w:color w:val="0D0D0D"/>
          <w:kern w:val="0"/>
          <w:sz w:val="22"/>
          <w:szCs w:val="22"/>
          <w:lang w:eastAsia="fr-FR"/>
          <w14:ligatures w14:val="none"/>
        </w:rPr>
      </w:pPr>
      <w:r w:rsidRPr="000119CB">
        <w:rPr>
          <w:rFonts w:ascii="Kohinoor Devanagari" w:eastAsia="Times New Roman" w:hAnsi="Kohinoor Devanagari" w:cs="Kohinoor Devanagari"/>
          <w:color w:val="0D0D0D"/>
          <w:kern w:val="0"/>
          <w:sz w:val="22"/>
          <w:szCs w:val="22"/>
          <w:lang w:eastAsia="fr-FR"/>
          <w14:ligatures w14:val="none"/>
        </w:rPr>
        <w:t>Identify SOE-funded public expenditures on behalf of the government.</w:t>
      </w:r>
    </w:p>
    <w:p w14:paraId="4AED2540" w14:textId="77777777" w:rsidR="0059050A" w:rsidRPr="000119CB" w:rsidRDefault="0059050A" w:rsidP="0059050A">
      <w:pPr>
        <w:numPr>
          <w:ilvl w:val="0"/>
          <w:numId w:val="61"/>
        </w:numPr>
        <w:rPr>
          <w:rFonts w:ascii="Kohinoor Devanagari" w:eastAsia="Times New Roman" w:hAnsi="Kohinoor Devanagari" w:cs="Kohinoor Devanagari"/>
          <w:color w:val="0D0D0D"/>
          <w:kern w:val="0"/>
          <w:sz w:val="22"/>
          <w:szCs w:val="22"/>
          <w:lang w:eastAsia="fr-FR"/>
          <w14:ligatures w14:val="none"/>
        </w:rPr>
      </w:pPr>
      <w:r w:rsidRPr="000119CB">
        <w:rPr>
          <w:rFonts w:ascii="Kohinoor Devanagari" w:eastAsia="Times New Roman" w:hAnsi="Kohinoor Devanagari" w:cs="Kohinoor Devanagari"/>
          <w:color w:val="0D0D0D"/>
          <w:kern w:val="0"/>
          <w:sz w:val="22"/>
          <w:szCs w:val="22"/>
          <w:lang w:eastAsia="fr-FR"/>
          <w14:ligatures w14:val="none"/>
        </w:rPr>
        <w:t>Provide a clear breakdown of SOE debt servicing, subsidies, and off-budget payments.</w:t>
      </w:r>
    </w:p>
    <w:p w14:paraId="06BADFD8" w14:textId="77777777" w:rsidR="0059050A" w:rsidRPr="009348C9" w:rsidRDefault="0059050A" w:rsidP="0059050A">
      <w:pPr>
        <w:rPr>
          <w:rFonts w:ascii="Kohinoor Devanagari" w:eastAsia="Times New Roman" w:hAnsi="Kohinoor Devanagari" w:cs="Kohinoor Devanagari"/>
          <w:b/>
          <w:bCs/>
          <w:color w:val="0D0D0D"/>
          <w:kern w:val="0"/>
          <w:sz w:val="22"/>
          <w:szCs w:val="22"/>
          <w:lang w:eastAsia="fr-FR"/>
          <w14:ligatures w14:val="none"/>
        </w:rPr>
      </w:pPr>
      <w:r w:rsidRPr="009348C9">
        <w:rPr>
          <w:rFonts w:ascii="Kohinoor Devanagari" w:eastAsia="Times New Roman" w:hAnsi="Kohinoor Devanagari" w:cs="Kohinoor Devanagari"/>
          <w:b/>
          <w:bCs/>
          <w:color w:val="0D0D0D"/>
          <w:kern w:val="0"/>
          <w:sz w:val="22"/>
          <w:szCs w:val="22"/>
          <w:lang w:eastAsia="fr-FR"/>
          <w14:ligatures w14:val="none"/>
        </w:rPr>
        <w:t>Data Disclosure Requirements</w:t>
      </w:r>
    </w:p>
    <w:tbl>
      <w:tblPr>
        <w:tblStyle w:val="TableGrid"/>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480"/>
        <w:gridCol w:w="1666"/>
        <w:gridCol w:w="1317"/>
        <w:gridCol w:w="1536"/>
        <w:gridCol w:w="1081"/>
        <w:gridCol w:w="1012"/>
        <w:gridCol w:w="1246"/>
      </w:tblGrid>
      <w:tr w:rsidR="00A31CD8" w:rsidRPr="00A31CD8" w14:paraId="0D29D548" w14:textId="77777777" w:rsidTr="00A31CD8">
        <w:trPr>
          <w:tblHeader/>
        </w:trPr>
        <w:tc>
          <w:tcPr>
            <w:tcW w:w="0" w:type="auto"/>
            <w:shd w:val="clear" w:color="auto" w:fill="748A96"/>
            <w:hideMark/>
          </w:tcPr>
          <w:p w14:paraId="4A2A21E8" w14:textId="77777777" w:rsidR="0059050A" w:rsidRPr="00C52386" w:rsidRDefault="0059050A"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Data Type</w:t>
            </w:r>
          </w:p>
        </w:tc>
        <w:tc>
          <w:tcPr>
            <w:tcW w:w="0" w:type="auto"/>
            <w:shd w:val="clear" w:color="auto" w:fill="748A96"/>
            <w:hideMark/>
          </w:tcPr>
          <w:p w14:paraId="4D63A336" w14:textId="77777777" w:rsidR="0059050A" w:rsidRPr="00C52386" w:rsidRDefault="0059050A"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Description</w:t>
            </w:r>
          </w:p>
        </w:tc>
        <w:tc>
          <w:tcPr>
            <w:tcW w:w="0" w:type="auto"/>
            <w:shd w:val="clear" w:color="auto" w:fill="748A96"/>
            <w:hideMark/>
          </w:tcPr>
          <w:p w14:paraId="027937F8" w14:textId="77777777" w:rsidR="0059050A" w:rsidRPr="00C52386" w:rsidRDefault="0059050A"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Responsible Entities</w:t>
            </w:r>
          </w:p>
        </w:tc>
        <w:tc>
          <w:tcPr>
            <w:tcW w:w="0" w:type="auto"/>
            <w:shd w:val="clear" w:color="auto" w:fill="748A96"/>
            <w:hideMark/>
          </w:tcPr>
          <w:p w14:paraId="7F64E767" w14:textId="77777777" w:rsidR="0059050A" w:rsidRPr="00C52386" w:rsidRDefault="0059050A"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Disaggregation</w:t>
            </w:r>
          </w:p>
        </w:tc>
        <w:tc>
          <w:tcPr>
            <w:tcW w:w="0" w:type="auto"/>
            <w:shd w:val="clear" w:color="auto" w:fill="748A96"/>
            <w:hideMark/>
          </w:tcPr>
          <w:p w14:paraId="5D0E511B" w14:textId="77777777" w:rsidR="0059050A" w:rsidRPr="00C52386" w:rsidRDefault="0059050A"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Frequency</w:t>
            </w:r>
          </w:p>
        </w:tc>
        <w:tc>
          <w:tcPr>
            <w:tcW w:w="0" w:type="auto"/>
            <w:shd w:val="clear" w:color="auto" w:fill="748A96"/>
            <w:hideMark/>
          </w:tcPr>
          <w:p w14:paraId="094A5EF1" w14:textId="77777777" w:rsidR="0059050A" w:rsidRPr="00C52386" w:rsidRDefault="0059050A"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Format</w:t>
            </w:r>
          </w:p>
        </w:tc>
        <w:tc>
          <w:tcPr>
            <w:tcW w:w="0" w:type="auto"/>
            <w:shd w:val="clear" w:color="auto" w:fill="748A96"/>
            <w:hideMark/>
          </w:tcPr>
          <w:p w14:paraId="0528E6C5" w14:textId="77777777" w:rsidR="0059050A" w:rsidRPr="00C52386" w:rsidRDefault="0059050A"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Publication Channels</w:t>
            </w:r>
          </w:p>
        </w:tc>
      </w:tr>
      <w:tr w:rsidR="0059050A" w:rsidRPr="009348C9" w14:paraId="1207C815" w14:textId="77777777" w:rsidTr="0092022E">
        <w:tc>
          <w:tcPr>
            <w:tcW w:w="0" w:type="auto"/>
            <w:hideMark/>
          </w:tcPr>
          <w:p w14:paraId="18E7EA19" w14:textId="77777777" w:rsidR="0059050A" w:rsidRPr="00C52386" w:rsidRDefault="0059050A" w:rsidP="0092022E">
            <w:pPr>
              <w:spacing w:after="40"/>
              <w:rPr>
                <w:rFonts w:ascii="Calibri" w:eastAsia="Times New Roman" w:hAnsi="Calibri" w:cs="Calibri"/>
                <w:b/>
                <w:bCs/>
                <w:color w:val="0D0D0D"/>
                <w:kern w:val="0"/>
                <w:sz w:val="20"/>
                <w:szCs w:val="20"/>
                <w:lang w:eastAsia="fr-FR"/>
                <w14:ligatures w14:val="none"/>
              </w:rPr>
            </w:pPr>
            <w:r w:rsidRPr="00C52386">
              <w:rPr>
                <w:rFonts w:ascii="Calibri" w:eastAsia="Times New Roman" w:hAnsi="Calibri" w:cs="Calibri"/>
                <w:b/>
                <w:bCs/>
                <w:color w:val="0D0D0D"/>
                <w:kern w:val="0"/>
                <w:sz w:val="20"/>
                <w:szCs w:val="20"/>
                <w:lang w:eastAsia="fr-FR"/>
                <w14:ligatures w14:val="none"/>
              </w:rPr>
              <w:t>Quasi-Fiscal Expenditures (QFEs) by SOEs</w:t>
            </w:r>
          </w:p>
        </w:tc>
        <w:tc>
          <w:tcPr>
            <w:tcW w:w="0" w:type="auto"/>
            <w:hideMark/>
          </w:tcPr>
          <w:p w14:paraId="140C8ABD" w14:textId="77777777" w:rsidR="0059050A" w:rsidRPr="009348C9" w:rsidRDefault="0059050A" w:rsidP="0092022E">
            <w:pPr>
              <w:spacing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Payments made by SOEs on behalf of the government, not recorded in the national budget.</w:t>
            </w:r>
          </w:p>
        </w:tc>
        <w:tc>
          <w:tcPr>
            <w:tcW w:w="0" w:type="auto"/>
            <w:hideMark/>
          </w:tcPr>
          <w:p w14:paraId="40333D57" w14:textId="77777777" w:rsidR="0059050A" w:rsidRPr="009348C9" w:rsidRDefault="0059050A" w:rsidP="0092022E">
            <w:pPr>
              <w:spacing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Ministry of Oil, Ministry of Finance, SOEs</w:t>
            </w:r>
          </w:p>
        </w:tc>
        <w:tc>
          <w:tcPr>
            <w:tcW w:w="0" w:type="auto"/>
            <w:hideMark/>
          </w:tcPr>
          <w:p w14:paraId="08C513CB" w14:textId="77777777" w:rsidR="0059050A" w:rsidRPr="009348C9" w:rsidRDefault="0059050A" w:rsidP="0092022E">
            <w:pPr>
              <w:spacing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By SOE, beneficiary, expenditure type</w:t>
            </w:r>
          </w:p>
        </w:tc>
        <w:tc>
          <w:tcPr>
            <w:tcW w:w="0" w:type="auto"/>
            <w:hideMark/>
          </w:tcPr>
          <w:p w14:paraId="0B94F66A" w14:textId="77777777" w:rsidR="0059050A" w:rsidRPr="009348C9" w:rsidRDefault="0059050A" w:rsidP="0092022E">
            <w:pPr>
              <w:spacing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Annually</w:t>
            </w:r>
          </w:p>
        </w:tc>
        <w:tc>
          <w:tcPr>
            <w:tcW w:w="0" w:type="auto"/>
            <w:hideMark/>
          </w:tcPr>
          <w:p w14:paraId="6CBE05AA" w14:textId="77777777" w:rsidR="0059050A" w:rsidRPr="009348C9" w:rsidRDefault="0059050A" w:rsidP="0092022E">
            <w:pPr>
              <w:spacing w:after="40"/>
              <w:rPr>
                <w:rFonts w:ascii="Calibri" w:eastAsia="Times New Roman" w:hAnsi="Calibri" w:cs="Calibri"/>
                <w:color w:val="0D0D0D"/>
                <w:kern w:val="0"/>
                <w:sz w:val="20"/>
                <w:szCs w:val="20"/>
                <w:lang w:eastAsia="fr-FR"/>
                <w14:ligatures w14:val="none"/>
              </w:rPr>
            </w:pPr>
            <w:r w:rsidRPr="007811DF">
              <w:rPr>
                <w:rFonts w:ascii="Calibri" w:eastAsia="Times New Roman" w:hAnsi="Calibri" w:cs="Calibri"/>
                <w:b/>
                <w:bCs/>
                <w:color w:val="0D0D0D"/>
                <w:kern w:val="0"/>
                <w:sz w:val="20"/>
                <w:szCs w:val="20"/>
                <w:lang w:eastAsia="fr-FR"/>
                <w14:ligatures w14:val="none"/>
              </w:rPr>
              <w:t>CSV, HTML</w:t>
            </w:r>
            <w:r w:rsidRPr="007811DF">
              <w:rPr>
                <w:rFonts w:ascii="Calibri" w:eastAsia="Times New Roman" w:hAnsi="Calibri" w:cs="Calibri"/>
                <w:color w:val="0D0D0D"/>
                <w:kern w:val="0"/>
                <w:sz w:val="20"/>
                <w:szCs w:val="20"/>
                <w:lang w:eastAsia="fr-FR"/>
                <w14:ligatures w14:val="none"/>
              </w:rPr>
              <w:t xml:space="preserve"> (PDF optional)</w:t>
            </w:r>
          </w:p>
        </w:tc>
        <w:tc>
          <w:tcPr>
            <w:tcW w:w="0" w:type="auto"/>
            <w:hideMark/>
          </w:tcPr>
          <w:p w14:paraId="50EC3DB2" w14:textId="6418C7C7" w:rsidR="0059050A" w:rsidRPr="009348C9" w:rsidRDefault="00E63D34" w:rsidP="0092022E">
            <w:pPr>
              <w:spacing w:after="40"/>
              <w:rPr>
                <w:rFonts w:ascii="Calibri" w:eastAsia="Times New Roman" w:hAnsi="Calibri" w:cs="Calibri"/>
                <w:color w:val="0D0D0D"/>
                <w:kern w:val="0"/>
                <w:sz w:val="20"/>
                <w:szCs w:val="20"/>
                <w:lang w:eastAsia="fr-FR"/>
                <w14:ligatures w14:val="none"/>
              </w:rPr>
            </w:pPr>
            <w:r w:rsidRPr="00E63D34">
              <w:rPr>
                <w:rFonts w:ascii="Calibri" w:eastAsia="Times New Roman" w:hAnsi="Calibri" w:cs="Calibri"/>
                <w:color w:val="0D0D0D"/>
                <w:kern w:val="0"/>
                <w:sz w:val="20"/>
                <w:szCs w:val="20"/>
                <w:lang w:eastAsia="fr-FR"/>
                <w14:ligatures w14:val="none"/>
              </w:rPr>
              <w:t>NRTC</w:t>
            </w:r>
            <w:r w:rsidR="0059050A" w:rsidRPr="009348C9">
              <w:rPr>
                <w:rFonts w:ascii="Calibri" w:eastAsia="Times New Roman" w:hAnsi="Calibri" w:cs="Calibri"/>
                <w:color w:val="0D0D0D"/>
                <w:kern w:val="0"/>
                <w:sz w:val="20"/>
                <w:szCs w:val="20"/>
                <w:lang w:eastAsia="fr-FR"/>
                <w14:ligatures w14:val="none"/>
              </w:rPr>
              <w:t xml:space="preserve"> Iraq portal, SOE websites</w:t>
            </w:r>
          </w:p>
        </w:tc>
      </w:tr>
      <w:tr w:rsidR="0059050A" w:rsidRPr="009348C9" w14:paraId="1AD475B5" w14:textId="77777777" w:rsidTr="0092022E">
        <w:tc>
          <w:tcPr>
            <w:tcW w:w="0" w:type="auto"/>
            <w:hideMark/>
          </w:tcPr>
          <w:p w14:paraId="4F938F1E" w14:textId="77777777" w:rsidR="0059050A" w:rsidRPr="00A31CD8" w:rsidRDefault="0059050A" w:rsidP="0092022E">
            <w:pPr>
              <w:spacing w:after="40"/>
              <w:rPr>
                <w:rFonts w:ascii="Calibri" w:eastAsia="Times New Roman" w:hAnsi="Calibri" w:cs="Calibri"/>
                <w:b/>
                <w:bCs/>
                <w:color w:val="0D0D0D"/>
                <w:kern w:val="0"/>
                <w:sz w:val="20"/>
                <w:szCs w:val="20"/>
                <w:lang w:eastAsia="fr-FR"/>
                <w14:ligatures w14:val="none"/>
              </w:rPr>
            </w:pPr>
            <w:r w:rsidRPr="00A31CD8">
              <w:rPr>
                <w:rFonts w:ascii="Calibri" w:eastAsia="Times New Roman" w:hAnsi="Calibri" w:cs="Calibri"/>
                <w:b/>
                <w:bCs/>
                <w:color w:val="0D0D0D"/>
                <w:kern w:val="0"/>
                <w:sz w:val="20"/>
                <w:szCs w:val="20"/>
                <w:lang w:eastAsia="fr-FR"/>
                <w14:ligatures w14:val="none"/>
              </w:rPr>
              <w:t>Debt Between SOEs and Government</w:t>
            </w:r>
          </w:p>
        </w:tc>
        <w:tc>
          <w:tcPr>
            <w:tcW w:w="0" w:type="auto"/>
            <w:hideMark/>
          </w:tcPr>
          <w:p w14:paraId="6AE6424B" w14:textId="77777777" w:rsidR="0059050A" w:rsidRPr="009348C9" w:rsidRDefault="0059050A" w:rsidP="0092022E">
            <w:pPr>
              <w:spacing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Outstanding debts from government entities to SOEs (e.g., unpaid fuel supply to the Ministry of Electricity).</w:t>
            </w:r>
          </w:p>
        </w:tc>
        <w:tc>
          <w:tcPr>
            <w:tcW w:w="0" w:type="auto"/>
            <w:hideMark/>
          </w:tcPr>
          <w:p w14:paraId="1E8A33A1" w14:textId="77777777" w:rsidR="0059050A" w:rsidRPr="009348C9" w:rsidRDefault="0059050A" w:rsidP="0092022E">
            <w:pPr>
              <w:spacing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Ministry of Oil, Ministry of Finance, SOEs</w:t>
            </w:r>
          </w:p>
        </w:tc>
        <w:tc>
          <w:tcPr>
            <w:tcW w:w="0" w:type="auto"/>
            <w:hideMark/>
          </w:tcPr>
          <w:p w14:paraId="36EB6F0C" w14:textId="77777777" w:rsidR="0059050A" w:rsidRPr="009348C9" w:rsidRDefault="0059050A" w:rsidP="0092022E">
            <w:pPr>
              <w:spacing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By SOE, debt type, amount</w:t>
            </w:r>
          </w:p>
        </w:tc>
        <w:tc>
          <w:tcPr>
            <w:tcW w:w="0" w:type="auto"/>
            <w:hideMark/>
          </w:tcPr>
          <w:p w14:paraId="010FE4BF" w14:textId="77777777" w:rsidR="0059050A" w:rsidRPr="009348C9" w:rsidRDefault="0059050A" w:rsidP="0092022E">
            <w:pPr>
              <w:spacing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Annually</w:t>
            </w:r>
          </w:p>
        </w:tc>
        <w:tc>
          <w:tcPr>
            <w:tcW w:w="0" w:type="auto"/>
            <w:hideMark/>
          </w:tcPr>
          <w:p w14:paraId="59C72E81" w14:textId="77777777" w:rsidR="0059050A" w:rsidRPr="009348C9" w:rsidRDefault="0059050A" w:rsidP="0092022E">
            <w:pPr>
              <w:spacing w:after="40"/>
              <w:rPr>
                <w:rFonts w:ascii="Calibri" w:eastAsia="Times New Roman" w:hAnsi="Calibri" w:cs="Calibri"/>
                <w:color w:val="0D0D0D"/>
                <w:kern w:val="0"/>
                <w:sz w:val="20"/>
                <w:szCs w:val="20"/>
                <w:lang w:eastAsia="fr-FR"/>
                <w14:ligatures w14:val="none"/>
              </w:rPr>
            </w:pPr>
            <w:r w:rsidRPr="00E257C3">
              <w:rPr>
                <w:rFonts w:ascii="Calibri" w:eastAsia="Times New Roman" w:hAnsi="Calibri" w:cs="Calibri"/>
                <w:b/>
                <w:bCs/>
                <w:color w:val="0D0D0D"/>
                <w:kern w:val="0"/>
                <w:sz w:val="20"/>
                <w:szCs w:val="20"/>
                <w:lang w:eastAsia="fr-FR"/>
                <w14:ligatures w14:val="none"/>
              </w:rPr>
              <w:t>CSV, HTML</w:t>
            </w:r>
            <w:r w:rsidRPr="00E257C3">
              <w:rPr>
                <w:rFonts w:ascii="Calibri" w:eastAsia="Times New Roman" w:hAnsi="Calibri" w:cs="Calibri"/>
                <w:color w:val="0D0D0D"/>
                <w:kern w:val="0"/>
                <w:sz w:val="20"/>
                <w:szCs w:val="20"/>
                <w:lang w:eastAsia="fr-FR"/>
                <w14:ligatures w14:val="none"/>
              </w:rPr>
              <w:t xml:space="preserve"> (PDF optional)</w:t>
            </w:r>
          </w:p>
        </w:tc>
        <w:tc>
          <w:tcPr>
            <w:tcW w:w="0" w:type="auto"/>
            <w:hideMark/>
          </w:tcPr>
          <w:p w14:paraId="494FF0C4" w14:textId="32972C42" w:rsidR="0059050A" w:rsidRPr="009348C9" w:rsidRDefault="00E63D34" w:rsidP="0092022E">
            <w:pPr>
              <w:spacing w:after="40"/>
              <w:rPr>
                <w:rFonts w:ascii="Calibri" w:eastAsia="Times New Roman" w:hAnsi="Calibri" w:cs="Calibri"/>
                <w:color w:val="0D0D0D"/>
                <w:kern w:val="0"/>
                <w:sz w:val="20"/>
                <w:szCs w:val="20"/>
                <w:lang w:eastAsia="fr-FR"/>
                <w14:ligatures w14:val="none"/>
              </w:rPr>
            </w:pPr>
            <w:r w:rsidRPr="00E63D34">
              <w:rPr>
                <w:rFonts w:ascii="Calibri" w:eastAsia="Times New Roman" w:hAnsi="Calibri" w:cs="Calibri"/>
                <w:color w:val="0D0D0D"/>
                <w:kern w:val="0"/>
                <w:sz w:val="20"/>
                <w:szCs w:val="20"/>
                <w:lang w:eastAsia="fr-FR"/>
                <w14:ligatures w14:val="none"/>
              </w:rPr>
              <w:t>NRTC</w:t>
            </w:r>
            <w:r w:rsidR="0059050A" w:rsidRPr="009348C9">
              <w:rPr>
                <w:rFonts w:ascii="Calibri" w:eastAsia="Times New Roman" w:hAnsi="Calibri" w:cs="Calibri"/>
                <w:color w:val="0D0D0D"/>
                <w:kern w:val="0"/>
                <w:sz w:val="20"/>
                <w:szCs w:val="20"/>
                <w:lang w:eastAsia="fr-FR"/>
                <w14:ligatures w14:val="none"/>
              </w:rPr>
              <w:t xml:space="preserve"> Iraq portal</w:t>
            </w:r>
            <w:r w:rsidR="0059050A">
              <w:rPr>
                <w:rFonts w:ascii="Calibri" w:eastAsia="Times New Roman" w:hAnsi="Calibri" w:cs="Calibri"/>
                <w:color w:val="0D0D0D"/>
                <w:kern w:val="0"/>
                <w:sz w:val="20"/>
                <w:szCs w:val="20"/>
                <w:lang w:eastAsia="fr-FR"/>
                <w14:ligatures w14:val="none"/>
              </w:rPr>
              <w:t xml:space="preserve">, </w:t>
            </w:r>
            <w:r w:rsidR="0059050A" w:rsidRPr="009348C9">
              <w:rPr>
                <w:rFonts w:ascii="Calibri" w:eastAsia="Times New Roman" w:hAnsi="Calibri" w:cs="Calibri"/>
                <w:color w:val="0D0D0D"/>
                <w:kern w:val="0"/>
                <w:sz w:val="20"/>
                <w:szCs w:val="20"/>
                <w:lang w:eastAsia="fr-FR"/>
                <w14:ligatures w14:val="none"/>
              </w:rPr>
              <w:t>SOE</w:t>
            </w:r>
            <w:r w:rsidR="0059050A">
              <w:rPr>
                <w:rFonts w:ascii="Calibri" w:eastAsia="Times New Roman" w:hAnsi="Calibri" w:cs="Calibri"/>
                <w:color w:val="0D0D0D"/>
                <w:kern w:val="0"/>
                <w:sz w:val="20"/>
                <w:szCs w:val="20"/>
                <w:lang w:eastAsia="fr-FR"/>
                <w14:ligatures w14:val="none"/>
              </w:rPr>
              <w:t xml:space="preserve"> &amp; MoF</w:t>
            </w:r>
            <w:r w:rsidR="0059050A" w:rsidRPr="009348C9">
              <w:rPr>
                <w:rFonts w:ascii="Calibri" w:eastAsia="Times New Roman" w:hAnsi="Calibri" w:cs="Calibri"/>
                <w:color w:val="0D0D0D"/>
                <w:kern w:val="0"/>
                <w:sz w:val="20"/>
                <w:szCs w:val="20"/>
                <w:lang w:eastAsia="fr-FR"/>
                <w14:ligatures w14:val="none"/>
              </w:rPr>
              <w:t xml:space="preserve"> websites</w:t>
            </w:r>
          </w:p>
        </w:tc>
      </w:tr>
      <w:tr w:rsidR="0059050A" w:rsidRPr="009348C9" w14:paraId="7568D03F" w14:textId="77777777" w:rsidTr="0092022E">
        <w:tc>
          <w:tcPr>
            <w:tcW w:w="0" w:type="auto"/>
            <w:hideMark/>
          </w:tcPr>
          <w:p w14:paraId="63B466CF" w14:textId="77777777" w:rsidR="0059050A" w:rsidRPr="009348C9" w:rsidRDefault="0059050A" w:rsidP="0092022E">
            <w:pPr>
              <w:spacing w:after="40"/>
              <w:rPr>
                <w:rFonts w:ascii="Calibri" w:eastAsia="Times New Roman" w:hAnsi="Calibri" w:cs="Calibri"/>
                <w:b/>
                <w:bCs/>
                <w:color w:val="0D0D0D"/>
                <w:kern w:val="0"/>
                <w:sz w:val="20"/>
                <w:szCs w:val="20"/>
                <w:lang w:eastAsia="fr-FR"/>
                <w14:ligatures w14:val="none"/>
              </w:rPr>
            </w:pPr>
            <w:r w:rsidRPr="009348C9">
              <w:rPr>
                <w:rFonts w:ascii="Calibri" w:eastAsia="Times New Roman" w:hAnsi="Calibri" w:cs="Calibri"/>
                <w:b/>
                <w:bCs/>
                <w:color w:val="0D0D0D"/>
                <w:kern w:val="0"/>
                <w:sz w:val="20"/>
                <w:szCs w:val="20"/>
                <w:lang w:eastAsia="fr-FR"/>
                <w14:ligatures w14:val="none"/>
              </w:rPr>
              <w:t>SOE Contributions to Security and Public Services</w:t>
            </w:r>
          </w:p>
        </w:tc>
        <w:tc>
          <w:tcPr>
            <w:tcW w:w="0" w:type="auto"/>
            <w:hideMark/>
          </w:tcPr>
          <w:p w14:paraId="1AD90D09" w14:textId="77777777" w:rsidR="0059050A" w:rsidRPr="009348C9" w:rsidRDefault="0059050A" w:rsidP="0092022E">
            <w:pPr>
              <w:spacing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Payments made by SOEs for security forces, civil defense, and infrastructure services</w:t>
            </w:r>
            <w:r>
              <w:rPr>
                <w:rFonts w:ascii="Calibri" w:eastAsia="Times New Roman" w:hAnsi="Calibri" w:cs="Calibri"/>
                <w:color w:val="0D0D0D"/>
                <w:kern w:val="0"/>
                <w:sz w:val="20"/>
                <w:szCs w:val="20"/>
                <w:lang w:eastAsia="fr-FR"/>
                <w14:ligatures w14:val="none"/>
              </w:rPr>
              <w:t xml:space="preserve"> (if applicable)</w:t>
            </w:r>
          </w:p>
        </w:tc>
        <w:tc>
          <w:tcPr>
            <w:tcW w:w="0" w:type="auto"/>
            <w:hideMark/>
          </w:tcPr>
          <w:p w14:paraId="13D5D316" w14:textId="77777777" w:rsidR="0059050A" w:rsidRPr="009348C9" w:rsidRDefault="0059050A" w:rsidP="0092022E">
            <w:pPr>
              <w:spacing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SOEs, Ministry of Oil</w:t>
            </w:r>
          </w:p>
        </w:tc>
        <w:tc>
          <w:tcPr>
            <w:tcW w:w="0" w:type="auto"/>
            <w:hideMark/>
          </w:tcPr>
          <w:p w14:paraId="0D0FAB0B" w14:textId="77777777" w:rsidR="0059050A" w:rsidRPr="009348C9" w:rsidRDefault="0059050A" w:rsidP="0092022E">
            <w:pPr>
              <w:spacing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By SOE, recipient agency</w:t>
            </w:r>
          </w:p>
        </w:tc>
        <w:tc>
          <w:tcPr>
            <w:tcW w:w="0" w:type="auto"/>
            <w:hideMark/>
          </w:tcPr>
          <w:p w14:paraId="2D217361" w14:textId="77777777" w:rsidR="0059050A" w:rsidRPr="009348C9" w:rsidRDefault="0059050A" w:rsidP="0092022E">
            <w:pPr>
              <w:spacing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Annually</w:t>
            </w:r>
          </w:p>
        </w:tc>
        <w:tc>
          <w:tcPr>
            <w:tcW w:w="0" w:type="auto"/>
            <w:hideMark/>
          </w:tcPr>
          <w:p w14:paraId="7754146C" w14:textId="77777777" w:rsidR="0059050A" w:rsidRPr="009348C9" w:rsidRDefault="0059050A" w:rsidP="0092022E">
            <w:pPr>
              <w:spacing w:after="40"/>
              <w:rPr>
                <w:rFonts w:ascii="Calibri" w:eastAsia="Times New Roman" w:hAnsi="Calibri" w:cs="Calibri"/>
                <w:color w:val="0D0D0D"/>
                <w:kern w:val="0"/>
                <w:sz w:val="20"/>
                <w:szCs w:val="20"/>
                <w:lang w:eastAsia="fr-FR"/>
                <w14:ligatures w14:val="none"/>
              </w:rPr>
            </w:pPr>
            <w:r w:rsidRPr="00E257C3">
              <w:rPr>
                <w:rFonts w:ascii="Calibri" w:eastAsia="Times New Roman" w:hAnsi="Calibri" w:cs="Calibri"/>
                <w:b/>
                <w:bCs/>
                <w:color w:val="0D0D0D"/>
                <w:kern w:val="0"/>
                <w:sz w:val="20"/>
                <w:szCs w:val="20"/>
                <w:lang w:eastAsia="fr-FR"/>
                <w14:ligatures w14:val="none"/>
              </w:rPr>
              <w:t>CSV, HTML</w:t>
            </w:r>
            <w:r w:rsidRPr="00E257C3">
              <w:rPr>
                <w:rFonts w:ascii="Calibri" w:eastAsia="Times New Roman" w:hAnsi="Calibri" w:cs="Calibri"/>
                <w:color w:val="0D0D0D"/>
                <w:kern w:val="0"/>
                <w:sz w:val="20"/>
                <w:szCs w:val="20"/>
                <w:lang w:eastAsia="fr-FR"/>
                <w14:ligatures w14:val="none"/>
              </w:rPr>
              <w:t xml:space="preserve"> (PDF optional)</w:t>
            </w:r>
          </w:p>
        </w:tc>
        <w:tc>
          <w:tcPr>
            <w:tcW w:w="0" w:type="auto"/>
            <w:hideMark/>
          </w:tcPr>
          <w:p w14:paraId="6FA0584F" w14:textId="0550C45C" w:rsidR="0059050A" w:rsidRPr="009348C9" w:rsidRDefault="00E63D34" w:rsidP="0092022E">
            <w:pPr>
              <w:spacing w:after="40"/>
              <w:rPr>
                <w:rFonts w:ascii="Calibri" w:eastAsia="Times New Roman" w:hAnsi="Calibri" w:cs="Calibri"/>
                <w:color w:val="0D0D0D"/>
                <w:kern w:val="0"/>
                <w:sz w:val="20"/>
                <w:szCs w:val="20"/>
                <w:lang w:eastAsia="fr-FR"/>
                <w14:ligatures w14:val="none"/>
              </w:rPr>
            </w:pPr>
            <w:r w:rsidRPr="00E63D34">
              <w:rPr>
                <w:rFonts w:ascii="Calibri" w:eastAsia="Times New Roman" w:hAnsi="Calibri" w:cs="Calibri"/>
                <w:color w:val="0D0D0D"/>
                <w:kern w:val="0"/>
                <w:sz w:val="20"/>
                <w:szCs w:val="20"/>
                <w:lang w:eastAsia="fr-FR"/>
                <w14:ligatures w14:val="none"/>
              </w:rPr>
              <w:t>NRTC</w:t>
            </w:r>
            <w:r w:rsidR="0059050A" w:rsidRPr="009348C9">
              <w:rPr>
                <w:rFonts w:ascii="Calibri" w:eastAsia="Times New Roman" w:hAnsi="Calibri" w:cs="Calibri"/>
                <w:color w:val="0D0D0D"/>
                <w:kern w:val="0"/>
                <w:sz w:val="20"/>
                <w:szCs w:val="20"/>
                <w:lang w:eastAsia="fr-FR"/>
                <w14:ligatures w14:val="none"/>
              </w:rPr>
              <w:t xml:space="preserve"> Iraq portal</w:t>
            </w:r>
            <w:r w:rsidR="0059050A">
              <w:rPr>
                <w:rFonts w:ascii="Calibri" w:eastAsia="Times New Roman" w:hAnsi="Calibri" w:cs="Calibri"/>
                <w:color w:val="0D0D0D"/>
                <w:kern w:val="0"/>
                <w:sz w:val="20"/>
                <w:szCs w:val="20"/>
                <w:lang w:eastAsia="fr-FR"/>
                <w14:ligatures w14:val="none"/>
              </w:rPr>
              <w:t xml:space="preserve">, </w:t>
            </w:r>
            <w:r w:rsidR="0059050A" w:rsidRPr="009348C9">
              <w:rPr>
                <w:rFonts w:ascii="Calibri" w:eastAsia="Times New Roman" w:hAnsi="Calibri" w:cs="Calibri"/>
                <w:color w:val="0D0D0D"/>
                <w:kern w:val="0"/>
                <w:sz w:val="20"/>
                <w:szCs w:val="20"/>
                <w:lang w:eastAsia="fr-FR"/>
                <w14:ligatures w14:val="none"/>
              </w:rPr>
              <w:t>SOE</w:t>
            </w:r>
            <w:r w:rsidR="0059050A">
              <w:rPr>
                <w:rFonts w:ascii="Calibri" w:eastAsia="Times New Roman" w:hAnsi="Calibri" w:cs="Calibri"/>
                <w:color w:val="0D0D0D"/>
                <w:kern w:val="0"/>
                <w:sz w:val="20"/>
                <w:szCs w:val="20"/>
                <w:lang w:eastAsia="fr-FR"/>
                <w14:ligatures w14:val="none"/>
              </w:rPr>
              <w:t xml:space="preserve"> </w:t>
            </w:r>
            <w:r w:rsidR="0059050A" w:rsidRPr="009348C9">
              <w:rPr>
                <w:rFonts w:ascii="Calibri" w:eastAsia="Times New Roman" w:hAnsi="Calibri" w:cs="Calibri"/>
                <w:color w:val="0D0D0D"/>
                <w:kern w:val="0"/>
                <w:sz w:val="20"/>
                <w:szCs w:val="20"/>
                <w:lang w:eastAsia="fr-FR"/>
                <w14:ligatures w14:val="none"/>
              </w:rPr>
              <w:t>websites</w:t>
            </w:r>
          </w:p>
        </w:tc>
      </w:tr>
      <w:tr w:rsidR="0059050A" w:rsidRPr="009348C9" w14:paraId="17864103" w14:textId="77777777" w:rsidTr="0092022E">
        <w:tc>
          <w:tcPr>
            <w:tcW w:w="0" w:type="auto"/>
            <w:hideMark/>
          </w:tcPr>
          <w:p w14:paraId="510A0356" w14:textId="77777777" w:rsidR="0059050A" w:rsidRPr="009348C9" w:rsidRDefault="0059050A" w:rsidP="0092022E">
            <w:pPr>
              <w:spacing w:after="40"/>
              <w:rPr>
                <w:rFonts w:ascii="Calibri" w:eastAsia="Times New Roman" w:hAnsi="Calibri" w:cs="Calibri"/>
                <w:b/>
                <w:bCs/>
                <w:color w:val="0D0D0D"/>
                <w:kern w:val="0"/>
                <w:sz w:val="20"/>
                <w:szCs w:val="20"/>
                <w:lang w:eastAsia="fr-FR"/>
                <w14:ligatures w14:val="none"/>
              </w:rPr>
            </w:pPr>
            <w:r w:rsidRPr="009348C9">
              <w:rPr>
                <w:rFonts w:ascii="Calibri" w:eastAsia="Times New Roman" w:hAnsi="Calibri" w:cs="Calibri"/>
                <w:b/>
                <w:bCs/>
                <w:color w:val="0D0D0D"/>
                <w:kern w:val="0"/>
                <w:sz w:val="20"/>
                <w:szCs w:val="20"/>
                <w:lang w:eastAsia="fr-FR"/>
                <w14:ligatures w14:val="none"/>
              </w:rPr>
              <w:t>Fuel Subsidies and National Debt Servicing</w:t>
            </w:r>
          </w:p>
        </w:tc>
        <w:tc>
          <w:tcPr>
            <w:tcW w:w="0" w:type="auto"/>
            <w:hideMark/>
          </w:tcPr>
          <w:p w14:paraId="082EDD3A" w14:textId="77777777" w:rsidR="0059050A" w:rsidRPr="009348C9" w:rsidRDefault="0059050A" w:rsidP="0092022E">
            <w:pPr>
              <w:spacing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Disclosure of subsidies provided by SOEs for fuel and other essential services.</w:t>
            </w:r>
          </w:p>
        </w:tc>
        <w:tc>
          <w:tcPr>
            <w:tcW w:w="0" w:type="auto"/>
            <w:hideMark/>
          </w:tcPr>
          <w:p w14:paraId="08E9AB87" w14:textId="77777777" w:rsidR="0059050A" w:rsidRPr="009348C9" w:rsidRDefault="0059050A" w:rsidP="0092022E">
            <w:pPr>
              <w:spacing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SOEs, Ministry of Finance</w:t>
            </w:r>
          </w:p>
        </w:tc>
        <w:tc>
          <w:tcPr>
            <w:tcW w:w="0" w:type="auto"/>
            <w:hideMark/>
          </w:tcPr>
          <w:p w14:paraId="07660907" w14:textId="77777777" w:rsidR="0059050A" w:rsidRPr="009348C9" w:rsidRDefault="0059050A" w:rsidP="0092022E">
            <w:pPr>
              <w:spacing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By SOE, recipient agency</w:t>
            </w:r>
          </w:p>
        </w:tc>
        <w:tc>
          <w:tcPr>
            <w:tcW w:w="0" w:type="auto"/>
            <w:hideMark/>
          </w:tcPr>
          <w:p w14:paraId="707500BF" w14:textId="77777777" w:rsidR="0059050A" w:rsidRPr="009348C9" w:rsidRDefault="0059050A" w:rsidP="0092022E">
            <w:pPr>
              <w:spacing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Annually</w:t>
            </w:r>
          </w:p>
        </w:tc>
        <w:tc>
          <w:tcPr>
            <w:tcW w:w="0" w:type="auto"/>
            <w:hideMark/>
          </w:tcPr>
          <w:p w14:paraId="53AA89DC" w14:textId="77777777" w:rsidR="0059050A" w:rsidRPr="009348C9" w:rsidRDefault="0059050A" w:rsidP="0092022E">
            <w:pPr>
              <w:spacing w:after="40"/>
              <w:rPr>
                <w:rFonts w:ascii="Calibri" w:eastAsia="Times New Roman" w:hAnsi="Calibri" w:cs="Calibri"/>
                <w:color w:val="0D0D0D"/>
                <w:kern w:val="0"/>
                <w:sz w:val="20"/>
                <w:szCs w:val="20"/>
                <w:lang w:eastAsia="fr-FR"/>
                <w14:ligatures w14:val="none"/>
              </w:rPr>
            </w:pPr>
            <w:r w:rsidRPr="00E257C3">
              <w:rPr>
                <w:rFonts w:ascii="Calibri" w:eastAsia="Times New Roman" w:hAnsi="Calibri" w:cs="Calibri"/>
                <w:b/>
                <w:bCs/>
                <w:color w:val="0D0D0D"/>
                <w:kern w:val="0"/>
                <w:sz w:val="20"/>
                <w:szCs w:val="20"/>
                <w:lang w:eastAsia="fr-FR"/>
                <w14:ligatures w14:val="none"/>
              </w:rPr>
              <w:t>CSV, HTML</w:t>
            </w:r>
            <w:r w:rsidRPr="00E257C3">
              <w:rPr>
                <w:rFonts w:ascii="Calibri" w:eastAsia="Times New Roman" w:hAnsi="Calibri" w:cs="Calibri"/>
                <w:color w:val="0D0D0D"/>
                <w:kern w:val="0"/>
                <w:sz w:val="20"/>
                <w:szCs w:val="20"/>
                <w:lang w:eastAsia="fr-FR"/>
                <w14:ligatures w14:val="none"/>
              </w:rPr>
              <w:t xml:space="preserve"> (PDF optional)</w:t>
            </w:r>
          </w:p>
        </w:tc>
        <w:tc>
          <w:tcPr>
            <w:tcW w:w="0" w:type="auto"/>
            <w:hideMark/>
          </w:tcPr>
          <w:p w14:paraId="50779B1B" w14:textId="4EE43A69" w:rsidR="0059050A" w:rsidRPr="009348C9" w:rsidRDefault="00E63D34" w:rsidP="0092022E">
            <w:pPr>
              <w:spacing w:after="40"/>
              <w:rPr>
                <w:rFonts w:ascii="Calibri" w:eastAsia="Times New Roman" w:hAnsi="Calibri" w:cs="Calibri"/>
                <w:color w:val="0D0D0D"/>
                <w:kern w:val="0"/>
                <w:sz w:val="20"/>
                <w:szCs w:val="20"/>
                <w:lang w:eastAsia="fr-FR"/>
                <w14:ligatures w14:val="none"/>
              </w:rPr>
            </w:pPr>
            <w:r w:rsidRPr="00E63D34">
              <w:rPr>
                <w:rFonts w:ascii="Calibri" w:eastAsia="Times New Roman" w:hAnsi="Calibri" w:cs="Calibri"/>
                <w:color w:val="0D0D0D"/>
                <w:kern w:val="0"/>
                <w:sz w:val="20"/>
                <w:szCs w:val="20"/>
                <w:lang w:eastAsia="fr-FR"/>
                <w14:ligatures w14:val="none"/>
              </w:rPr>
              <w:t>NRTC</w:t>
            </w:r>
            <w:r w:rsidR="0059050A" w:rsidRPr="009348C9">
              <w:rPr>
                <w:rFonts w:ascii="Calibri" w:eastAsia="Times New Roman" w:hAnsi="Calibri" w:cs="Calibri"/>
                <w:color w:val="0D0D0D"/>
                <w:kern w:val="0"/>
                <w:sz w:val="20"/>
                <w:szCs w:val="20"/>
                <w:lang w:eastAsia="fr-FR"/>
                <w14:ligatures w14:val="none"/>
              </w:rPr>
              <w:t xml:space="preserve"> Iraq portal</w:t>
            </w:r>
            <w:r w:rsidR="0059050A">
              <w:rPr>
                <w:rFonts w:ascii="Calibri" w:eastAsia="Times New Roman" w:hAnsi="Calibri" w:cs="Calibri"/>
                <w:color w:val="0D0D0D"/>
                <w:kern w:val="0"/>
                <w:sz w:val="20"/>
                <w:szCs w:val="20"/>
                <w:lang w:eastAsia="fr-FR"/>
                <w14:ligatures w14:val="none"/>
              </w:rPr>
              <w:t>, SOE/MoF websites</w:t>
            </w:r>
          </w:p>
        </w:tc>
      </w:tr>
    </w:tbl>
    <w:p w14:paraId="1478E0A4" w14:textId="77777777" w:rsidR="0059050A" w:rsidRDefault="0059050A" w:rsidP="0059050A">
      <w:pPr>
        <w:rPr>
          <w:rFonts w:ascii="Kohinoor Devanagari" w:eastAsiaTheme="majorEastAsia" w:hAnsi="Kohinoor Devanagari" w:cs="Kohinoor Devanagari"/>
          <w:b/>
          <w:bCs/>
          <w:i/>
          <w:iCs/>
          <w:color w:val="0F4761" w:themeColor="accent1" w:themeShade="BF"/>
          <w:sz w:val="22"/>
          <w:szCs w:val="22"/>
        </w:rPr>
      </w:pPr>
      <w:r>
        <w:rPr>
          <w:rFonts w:ascii="Kohinoor Devanagari" w:hAnsi="Kohinoor Devanagari" w:cs="Kohinoor Devanagari"/>
          <w:b/>
          <w:bCs/>
          <w:sz w:val="22"/>
          <w:szCs w:val="22"/>
        </w:rPr>
        <w:br w:type="page"/>
      </w:r>
    </w:p>
    <w:p w14:paraId="5523730D" w14:textId="34A5E842" w:rsidR="0037147E" w:rsidRPr="008471A2" w:rsidRDefault="008471A2" w:rsidP="008471A2">
      <w:pPr>
        <w:pStyle w:val="Heading4"/>
        <w:spacing w:before="120" w:after="120"/>
        <w:rPr>
          <w:rFonts w:ascii="Kohinoor Devanagari" w:hAnsi="Kohinoor Devanagari" w:cs="Kohinoor Devanagari"/>
          <w:b/>
          <w:bCs/>
          <w:sz w:val="22"/>
          <w:szCs w:val="22"/>
        </w:rPr>
      </w:pPr>
      <w:r w:rsidRPr="00C52386">
        <w:rPr>
          <w:rFonts w:ascii="Kohinoor Devanagari" w:hAnsi="Kohinoor Devanagari" w:cs="Kohinoor Devanagari"/>
          <w:b/>
          <w:bCs/>
          <w:sz w:val="22"/>
          <w:szCs w:val="22"/>
        </w:rPr>
        <w:t>Module</w:t>
      </w:r>
      <w:r>
        <w:rPr>
          <w:rFonts w:ascii="Kohinoor Devanagari" w:hAnsi="Kohinoor Devanagari" w:cs="Kohinoor Devanagari"/>
          <w:b/>
          <w:bCs/>
          <w:sz w:val="22"/>
          <w:szCs w:val="22"/>
        </w:rPr>
        <w:t xml:space="preserve"> 6</w:t>
      </w:r>
      <w:r w:rsidRPr="00C52386">
        <w:rPr>
          <w:rFonts w:ascii="Kohinoor Devanagari" w:hAnsi="Kohinoor Devanagari" w:cs="Kohinoor Devanagari"/>
          <w:b/>
          <w:bCs/>
          <w:sz w:val="22"/>
          <w:szCs w:val="22"/>
        </w:rPr>
        <w:t xml:space="preserve">: Production and exports </w:t>
      </w:r>
    </w:p>
    <w:p w14:paraId="5A60E751" w14:textId="163A8C4D" w:rsidR="00C56FB3" w:rsidRPr="00C56FB3" w:rsidRDefault="005F017B" w:rsidP="00536A4E">
      <w:pPr>
        <w:pStyle w:val="Heading4"/>
        <w:spacing w:before="120" w:after="120"/>
        <w:rPr>
          <w:rFonts w:ascii="Kohinoor Devanagari" w:hAnsi="Kohinoor Devanagari" w:cs="Kohinoor Devanagari"/>
          <w:b/>
          <w:bCs/>
          <w:sz w:val="22"/>
          <w:szCs w:val="22"/>
        </w:rPr>
      </w:pPr>
      <w:r>
        <w:rPr>
          <w:rFonts w:ascii="Kohinoor Devanagari" w:hAnsi="Kohinoor Devanagari" w:cs="Kohinoor Devanagari"/>
          <w:b/>
          <w:bCs/>
          <w:sz w:val="22"/>
          <w:szCs w:val="22"/>
        </w:rPr>
        <w:t xml:space="preserve">6.1. </w:t>
      </w:r>
      <w:r w:rsidR="00C56FB3" w:rsidRPr="00C56FB3">
        <w:rPr>
          <w:rFonts w:ascii="Kohinoor Devanagari" w:hAnsi="Kohinoor Devanagari" w:cs="Kohinoor Devanagari"/>
          <w:b/>
          <w:bCs/>
          <w:sz w:val="22"/>
          <w:szCs w:val="22"/>
        </w:rPr>
        <w:t>Production and Exports (Requirements 3.2 &amp; 3.3)</w:t>
      </w:r>
    </w:p>
    <w:p w14:paraId="5296FD0E" w14:textId="56FDADBB" w:rsidR="00C56FB3" w:rsidRPr="00C56FB3" w:rsidRDefault="00C56FB3" w:rsidP="00C56FB3">
      <w:pPr>
        <w:rPr>
          <w:rFonts w:ascii="Kohinoor Devanagari" w:eastAsia="Times New Roman" w:hAnsi="Kohinoor Devanagari" w:cs="Kohinoor Devanagari"/>
          <w:b/>
          <w:bCs/>
          <w:color w:val="0D0D0D"/>
          <w:kern w:val="0"/>
          <w:sz w:val="22"/>
          <w:szCs w:val="22"/>
          <w:lang w:eastAsia="fr-FR"/>
          <w14:ligatures w14:val="none"/>
        </w:rPr>
      </w:pPr>
      <w:r w:rsidRPr="00C56FB3">
        <w:rPr>
          <w:rFonts w:ascii="Kohinoor Devanagari" w:eastAsia="Times New Roman" w:hAnsi="Kohinoor Devanagari" w:cs="Kohinoor Devanagari"/>
          <w:b/>
          <w:bCs/>
          <w:color w:val="0D0D0D"/>
          <w:kern w:val="0"/>
          <w:sz w:val="22"/>
          <w:szCs w:val="22"/>
          <w:lang w:eastAsia="fr-FR"/>
          <w14:ligatures w14:val="none"/>
        </w:rPr>
        <w:t>Objective</w:t>
      </w:r>
    </w:p>
    <w:p w14:paraId="0576F687" w14:textId="77777777" w:rsidR="00C56FB3" w:rsidRPr="009F50A1" w:rsidRDefault="00C56FB3" w:rsidP="002D3CD8">
      <w:p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C56FB3">
        <w:rPr>
          <w:rFonts w:ascii="Kohinoor Devanagari" w:eastAsia="Times New Roman" w:hAnsi="Kohinoor Devanagari" w:cs="Kohinoor Devanagari"/>
          <w:color w:val="0D0D0D"/>
          <w:kern w:val="0"/>
          <w:sz w:val="22"/>
          <w:szCs w:val="22"/>
          <w:lang w:eastAsia="fr-FR"/>
          <w14:ligatures w14:val="none"/>
        </w:rPr>
        <w:t xml:space="preserve">This section ensures public access to production and export data for Iraq’s extractive sector, </w:t>
      </w:r>
      <w:r w:rsidRPr="009F50A1">
        <w:rPr>
          <w:rFonts w:ascii="Kohinoor Devanagari" w:eastAsia="Times New Roman" w:hAnsi="Kohinoor Devanagari" w:cs="Kohinoor Devanagari"/>
          <w:color w:val="0D0D0D"/>
          <w:kern w:val="0"/>
          <w:sz w:val="22"/>
          <w:szCs w:val="22"/>
          <w:lang w:eastAsia="fr-FR"/>
          <w14:ligatures w14:val="none"/>
        </w:rPr>
        <w:t>covering both national and Kurdistan Regional Government (KRG) levels. It requires:</w:t>
      </w:r>
    </w:p>
    <w:p w14:paraId="3FDC56DC" w14:textId="77777777" w:rsidR="00C56FB3" w:rsidRPr="00C56FB3" w:rsidRDefault="00C56FB3" w:rsidP="00FD2B68">
      <w:pPr>
        <w:numPr>
          <w:ilvl w:val="0"/>
          <w:numId w:val="58"/>
        </w:num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9F50A1">
        <w:rPr>
          <w:rFonts w:ascii="Kohinoor Devanagari" w:eastAsia="Times New Roman" w:hAnsi="Kohinoor Devanagari" w:cs="Kohinoor Devanagari"/>
          <w:color w:val="0D0D0D"/>
          <w:kern w:val="0"/>
          <w:sz w:val="22"/>
          <w:szCs w:val="22"/>
          <w:lang w:eastAsia="fr-FR"/>
          <w14:ligatures w14:val="none"/>
        </w:rPr>
        <w:t>Disclosure</w:t>
      </w:r>
      <w:r w:rsidRPr="00C56FB3">
        <w:rPr>
          <w:rFonts w:ascii="Kohinoor Devanagari" w:eastAsia="Times New Roman" w:hAnsi="Kohinoor Devanagari" w:cs="Kohinoor Devanagari"/>
          <w:color w:val="0D0D0D"/>
          <w:kern w:val="0"/>
          <w:sz w:val="22"/>
          <w:szCs w:val="22"/>
          <w:lang w:eastAsia="fr-FR"/>
          <w14:ligatures w14:val="none"/>
        </w:rPr>
        <w:t xml:space="preserve"> of production volumes and values for all extractive commodities.</w:t>
      </w:r>
    </w:p>
    <w:p w14:paraId="02FD0A25" w14:textId="77777777" w:rsidR="00C56FB3" w:rsidRPr="00C56FB3" w:rsidRDefault="00C56FB3" w:rsidP="00FD2B68">
      <w:pPr>
        <w:numPr>
          <w:ilvl w:val="0"/>
          <w:numId w:val="58"/>
        </w:num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C56FB3">
        <w:rPr>
          <w:rFonts w:ascii="Kohinoor Devanagari" w:eastAsia="Times New Roman" w:hAnsi="Kohinoor Devanagari" w:cs="Kohinoor Devanagari"/>
          <w:color w:val="0D0D0D"/>
          <w:kern w:val="0"/>
          <w:sz w:val="22"/>
          <w:szCs w:val="22"/>
          <w:lang w:eastAsia="fr-FR"/>
          <w14:ligatures w14:val="none"/>
        </w:rPr>
        <w:t>Details on the valuation of extractive output to assess revenue expectations.</w:t>
      </w:r>
    </w:p>
    <w:p w14:paraId="407AE736" w14:textId="77777777" w:rsidR="00C56FB3" w:rsidRPr="00C56FB3" w:rsidRDefault="00C56FB3" w:rsidP="00FD2B68">
      <w:pPr>
        <w:numPr>
          <w:ilvl w:val="0"/>
          <w:numId w:val="58"/>
        </w:num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C56FB3">
        <w:rPr>
          <w:rFonts w:ascii="Kohinoor Devanagari" w:eastAsia="Times New Roman" w:hAnsi="Kohinoor Devanagari" w:cs="Kohinoor Devanagari"/>
          <w:color w:val="0D0D0D"/>
          <w:kern w:val="0"/>
          <w:sz w:val="22"/>
          <w:szCs w:val="22"/>
          <w:lang w:eastAsia="fr-FR"/>
          <w14:ligatures w14:val="none"/>
        </w:rPr>
        <w:t>Public reporting of export volumes and values, including country and buyer breakdowns.</w:t>
      </w:r>
    </w:p>
    <w:p w14:paraId="16790186" w14:textId="58DD350B" w:rsidR="00C56FB3" w:rsidRPr="009F50A1" w:rsidRDefault="00C56FB3" w:rsidP="00C56FB3">
      <w:pPr>
        <w:rPr>
          <w:rFonts w:ascii="Kohinoor Devanagari" w:eastAsia="Times New Roman" w:hAnsi="Kohinoor Devanagari" w:cs="Kohinoor Devanagari"/>
          <w:b/>
          <w:bCs/>
          <w:color w:val="0D0D0D"/>
          <w:kern w:val="0"/>
          <w:sz w:val="22"/>
          <w:szCs w:val="22"/>
          <w:lang w:eastAsia="fr-FR"/>
          <w14:ligatures w14:val="none"/>
        </w:rPr>
      </w:pPr>
      <w:r w:rsidRPr="009F50A1">
        <w:rPr>
          <w:rFonts w:ascii="Kohinoor Devanagari" w:eastAsia="Times New Roman" w:hAnsi="Kohinoor Devanagari" w:cs="Kohinoor Devanagari"/>
          <w:b/>
          <w:bCs/>
          <w:color w:val="0D0D0D"/>
          <w:kern w:val="0"/>
          <w:sz w:val="22"/>
          <w:szCs w:val="22"/>
          <w:lang w:eastAsia="fr-FR"/>
          <w14:ligatures w14:val="none"/>
        </w:rPr>
        <w:t>Data Disclosure Requirements</w:t>
      </w:r>
    </w:p>
    <w:tbl>
      <w:tblPr>
        <w:tblStyle w:val="TableGrid"/>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256"/>
        <w:gridCol w:w="1482"/>
        <w:gridCol w:w="1442"/>
        <w:gridCol w:w="1697"/>
        <w:gridCol w:w="1107"/>
        <w:gridCol w:w="1001"/>
        <w:gridCol w:w="1353"/>
      </w:tblGrid>
      <w:tr w:rsidR="00A31CD8" w:rsidRPr="00A31CD8" w14:paraId="408FFAEB" w14:textId="77777777" w:rsidTr="00A31CD8">
        <w:trPr>
          <w:tblHeader/>
        </w:trPr>
        <w:tc>
          <w:tcPr>
            <w:tcW w:w="0" w:type="auto"/>
            <w:shd w:val="clear" w:color="auto" w:fill="748A96"/>
            <w:hideMark/>
          </w:tcPr>
          <w:p w14:paraId="3B3C22FC" w14:textId="77777777" w:rsidR="00C56FB3" w:rsidRPr="00C52386" w:rsidRDefault="00C56FB3"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Data Type</w:t>
            </w:r>
          </w:p>
        </w:tc>
        <w:tc>
          <w:tcPr>
            <w:tcW w:w="0" w:type="auto"/>
            <w:shd w:val="clear" w:color="auto" w:fill="748A96"/>
            <w:hideMark/>
          </w:tcPr>
          <w:p w14:paraId="0D16E4F5" w14:textId="77777777" w:rsidR="00C56FB3" w:rsidRPr="00C52386" w:rsidRDefault="00C56FB3"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Description</w:t>
            </w:r>
          </w:p>
        </w:tc>
        <w:tc>
          <w:tcPr>
            <w:tcW w:w="0" w:type="auto"/>
            <w:shd w:val="clear" w:color="auto" w:fill="748A96"/>
            <w:hideMark/>
          </w:tcPr>
          <w:p w14:paraId="425A4273" w14:textId="77777777" w:rsidR="00C56FB3" w:rsidRPr="00C52386" w:rsidRDefault="00C56FB3"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Responsible Entities</w:t>
            </w:r>
          </w:p>
        </w:tc>
        <w:tc>
          <w:tcPr>
            <w:tcW w:w="0" w:type="auto"/>
            <w:shd w:val="clear" w:color="auto" w:fill="748A96"/>
            <w:hideMark/>
          </w:tcPr>
          <w:p w14:paraId="1BB41F81" w14:textId="77777777" w:rsidR="00C56FB3" w:rsidRPr="00C52386" w:rsidRDefault="00C56FB3"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Disaggregation</w:t>
            </w:r>
          </w:p>
        </w:tc>
        <w:tc>
          <w:tcPr>
            <w:tcW w:w="0" w:type="auto"/>
            <w:shd w:val="clear" w:color="auto" w:fill="748A96"/>
            <w:hideMark/>
          </w:tcPr>
          <w:p w14:paraId="682956A7" w14:textId="77777777" w:rsidR="00C56FB3" w:rsidRPr="00C52386" w:rsidRDefault="00C56FB3"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Frequency</w:t>
            </w:r>
          </w:p>
        </w:tc>
        <w:tc>
          <w:tcPr>
            <w:tcW w:w="0" w:type="auto"/>
            <w:shd w:val="clear" w:color="auto" w:fill="748A96"/>
            <w:hideMark/>
          </w:tcPr>
          <w:p w14:paraId="14EE26C1" w14:textId="77777777" w:rsidR="00C56FB3" w:rsidRPr="00C52386" w:rsidRDefault="00C56FB3"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Format</w:t>
            </w:r>
          </w:p>
        </w:tc>
        <w:tc>
          <w:tcPr>
            <w:tcW w:w="0" w:type="auto"/>
            <w:shd w:val="clear" w:color="auto" w:fill="748A96"/>
            <w:hideMark/>
          </w:tcPr>
          <w:p w14:paraId="0F5164AD" w14:textId="77777777" w:rsidR="00C56FB3" w:rsidRPr="00C52386" w:rsidRDefault="00C56FB3"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Publication Channels</w:t>
            </w:r>
          </w:p>
        </w:tc>
      </w:tr>
      <w:tr w:rsidR="00762146" w:rsidRPr="009F50A1" w14:paraId="24E9B5BE" w14:textId="77777777" w:rsidTr="00B32D73">
        <w:tc>
          <w:tcPr>
            <w:tcW w:w="0" w:type="auto"/>
            <w:hideMark/>
          </w:tcPr>
          <w:p w14:paraId="6E99DA71" w14:textId="46776466" w:rsidR="00C56FB3" w:rsidRPr="009F50A1" w:rsidRDefault="00C56FB3" w:rsidP="00120990">
            <w:pPr>
              <w:spacing w:after="40"/>
              <w:rPr>
                <w:rFonts w:ascii="Calibri" w:eastAsia="Times New Roman" w:hAnsi="Calibri" w:cs="Calibri"/>
                <w:b/>
                <w:bCs/>
                <w:color w:val="0D0D0D"/>
                <w:kern w:val="0"/>
                <w:sz w:val="20"/>
                <w:szCs w:val="20"/>
                <w:lang w:eastAsia="fr-FR"/>
                <w14:ligatures w14:val="none"/>
              </w:rPr>
            </w:pPr>
            <w:r w:rsidRPr="009F50A1">
              <w:rPr>
                <w:rFonts w:ascii="Calibri" w:eastAsia="Times New Roman" w:hAnsi="Calibri" w:cs="Calibri"/>
                <w:b/>
                <w:bCs/>
                <w:color w:val="0D0D0D"/>
                <w:kern w:val="0"/>
                <w:sz w:val="20"/>
                <w:szCs w:val="20"/>
                <w:lang w:eastAsia="fr-FR"/>
                <w14:ligatures w14:val="none"/>
              </w:rPr>
              <w:t>Production Volumes</w:t>
            </w:r>
            <w:r w:rsidR="00E61FFC" w:rsidRPr="009F50A1">
              <w:rPr>
                <w:rFonts w:ascii="Calibri" w:eastAsia="Times New Roman" w:hAnsi="Calibri" w:cs="Calibri"/>
                <w:b/>
                <w:bCs/>
                <w:color w:val="0D0D0D"/>
                <w:kern w:val="0"/>
                <w:sz w:val="20"/>
                <w:szCs w:val="20"/>
                <w:lang w:eastAsia="fr-FR"/>
                <w14:ligatures w14:val="none"/>
              </w:rPr>
              <w:t xml:space="preserve"> and values</w:t>
            </w:r>
          </w:p>
        </w:tc>
        <w:tc>
          <w:tcPr>
            <w:tcW w:w="0" w:type="auto"/>
            <w:hideMark/>
          </w:tcPr>
          <w:p w14:paraId="58E2973C" w14:textId="70AC7F35" w:rsidR="00C56FB3" w:rsidRPr="009F50A1" w:rsidRDefault="00C56FB3"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Total annual production by commodity</w:t>
            </w:r>
            <w:r w:rsidR="00C47BB7" w:rsidRPr="009F50A1">
              <w:rPr>
                <w:rFonts w:ascii="Calibri" w:eastAsia="Times New Roman" w:hAnsi="Calibri" w:cs="Calibri"/>
                <w:color w:val="0D0D0D"/>
                <w:kern w:val="0"/>
                <w:sz w:val="20"/>
                <w:szCs w:val="20"/>
                <w:lang w:eastAsia="fr-FR"/>
                <w14:ligatures w14:val="none"/>
              </w:rPr>
              <w:t xml:space="preserve">, company </w:t>
            </w:r>
            <w:r w:rsidRPr="009F50A1">
              <w:rPr>
                <w:rFonts w:ascii="Calibri" w:eastAsia="Times New Roman" w:hAnsi="Calibri" w:cs="Calibri"/>
                <w:color w:val="0D0D0D"/>
                <w:kern w:val="0"/>
                <w:sz w:val="20"/>
                <w:szCs w:val="20"/>
                <w:lang w:eastAsia="fr-FR"/>
                <w14:ligatures w14:val="none"/>
              </w:rPr>
              <w:t>and project</w:t>
            </w:r>
          </w:p>
          <w:p w14:paraId="1F5E0F6C" w14:textId="07D0C8AB" w:rsidR="00C42708" w:rsidRPr="009F50A1" w:rsidRDefault="00C42708"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Market value of produced commodities</w:t>
            </w:r>
          </w:p>
        </w:tc>
        <w:tc>
          <w:tcPr>
            <w:tcW w:w="0" w:type="auto"/>
            <w:hideMark/>
          </w:tcPr>
          <w:p w14:paraId="280DC1B6" w14:textId="77777777" w:rsidR="00C42708" w:rsidRPr="009F50A1" w:rsidRDefault="00C56FB3"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 xml:space="preserve">Ministry of Oil, Ministry of Industry and Minerals, Ministry of Natural Resources (KRG), </w:t>
            </w:r>
          </w:p>
          <w:p w14:paraId="27525A28" w14:textId="6FAF02DD" w:rsidR="00524D95" w:rsidRPr="009F50A1" w:rsidRDefault="00524D95"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SOEs</w:t>
            </w:r>
          </w:p>
          <w:p w14:paraId="76826B23" w14:textId="39C6DA9A" w:rsidR="00524D95" w:rsidRPr="009F50A1" w:rsidRDefault="00524D95"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Private compan</w:t>
            </w:r>
            <w:r w:rsidR="006F1A87" w:rsidRPr="009F50A1">
              <w:rPr>
                <w:rFonts w:ascii="Calibri" w:eastAsia="Times New Roman" w:hAnsi="Calibri" w:cs="Calibri"/>
                <w:color w:val="0D0D0D"/>
                <w:kern w:val="0"/>
                <w:sz w:val="20"/>
                <w:szCs w:val="20"/>
                <w:lang w:eastAsia="fr-FR"/>
                <w14:ligatures w14:val="none"/>
              </w:rPr>
              <w:t>ies</w:t>
            </w:r>
          </w:p>
        </w:tc>
        <w:tc>
          <w:tcPr>
            <w:tcW w:w="0" w:type="auto"/>
            <w:hideMark/>
          </w:tcPr>
          <w:p w14:paraId="1ED47566" w14:textId="06588E64" w:rsidR="007A37B7" w:rsidRPr="009F50A1" w:rsidRDefault="00C56FB3" w:rsidP="00BE1C69">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 xml:space="preserve">By commodity, project, </w:t>
            </w:r>
            <w:r w:rsidR="008D0E4F" w:rsidRPr="009F50A1">
              <w:rPr>
                <w:rFonts w:ascii="Calibri" w:eastAsia="Times New Roman" w:hAnsi="Calibri" w:cs="Calibri"/>
                <w:color w:val="0D0D0D"/>
                <w:kern w:val="0"/>
                <w:sz w:val="20"/>
                <w:szCs w:val="20"/>
                <w:lang w:eastAsia="fr-FR"/>
                <w14:ligatures w14:val="none"/>
              </w:rPr>
              <w:t xml:space="preserve">company and </w:t>
            </w:r>
            <w:r w:rsidRPr="009F50A1">
              <w:rPr>
                <w:rFonts w:ascii="Calibri" w:eastAsia="Times New Roman" w:hAnsi="Calibri" w:cs="Calibri"/>
                <w:color w:val="0D0D0D"/>
                <w:kern w:val="0"/>
                <w:sz w:val="20"/>
                <w:szCs w:val="20"/>
                <w:lang w:eastAsia="fr-FR"/>
                <w14:ligatures w14:val="none"/>
              </w:rPr>
              <w:t>region</w:t>
            </w:r>
            <w:r w:rsidR="007A37B7" w:rsidRPr="009F50A1">
              <w:rPr>
                <w:rFonts w:ascii="Calibri" w:eastAsia="Times New Roman" w:hAnsi="Calibri" w:cs="Calibri"/>
                <w:color w:val="0D0D0D"/>
                <w:kern w:val="0"/>
                <w:sz w:val="20"/>
                <w:szCs w:val="20"/>
                <w:lang w:eastAsia="fr-FR"/>
                <w14:ligatures w14:val="none"/>
              </w:rPr>
              <w:t xml:space="preserve"> with Split between Electricity Companies, Refineries</w:t>
            </w:r>
            <w:r w:rsidR="009F50A1">
              <w:rPr>
                <w:rFonts w:ascii="Calibri" w:eastAsia="Times New Roman" w:hAnsi="Calibri" w:cs="Calibri"/>
                <w:color w:val="0D0D0D"/>
                <w:kern w:val="0"/>
                <w:sz w:val="20"/>
                <w:szCs w:val="20"/>
                <w:lang w:eastAsia="fr-FR"/>
                <w14:ligatures w14:val="none"/>
              </w:rPr>
              <w:t>,</w:t>
            </w:r>
            <w:r w:rsidR="007A37B7" w:rsidRPr="009F50A1">
              <w:rPr>
                <w:rFonts w:ascii="Calibri" w:eastAsia="Times New Roman" w:hAnsi="Calibri" w:cs="Calibri"/>
                <w:color w:val="0D0D0D"/>
                <w:kern w:val="0"/>
                <w:sz w:val="20"/>
                <w:szCs w:val="20"/>
                <w:lang w:eastAsia="fr-FR"/>
                <w14:ligatures w14:val="none"/>
              </w:rPr>
              <w:t xml:space="preserve"> etc</w:t>
            </w:r>
            <w:r w:rsidR="009F50A1">
              <w:rPr>
                <w:rFonts w:ascii="Calibri" w:eastAsia="Times New Roman" w:hAnsi="Calibri" w:cs="Calibri"/>
                <w:color w:val="0D0D0D"/>
                <w:kern w:val="0"/>
                <w:sz w:val="20"/>
                <w:szCs w:val="20"/>
                <w:lang w:eastAsia="fr-FR"/>
                <w14:ligatures w14:val="none"/>
              </w:rPr>
              <w:t>.</w:t>
            </w:r>
          </w:p>
          <w:p w14:paraId="57A89D26" w14:textId="77777777" w:rsidR="007A37B7" w:rsidRPr="009F50A1" w:rsidRDefault="007A37B7" w:rsidP="00BE1C69">
            <w:pPr>
              <w:spacing w:after="40"/>
              <w:rPr>
                <w:rFonts w:ascii="Calibri" w:eastAsia="Times New Roman" w:hAnsi="Calibri" w:cs="Calibri"/>
                <w:color w:val="0D0D0D"/>
                <w:kern w:val="0"/>
                <w:sz w:val="20"/>
                <w:szCs w:val="20"/>
                <w:lang w:eastAsia="fr-FR"/>
                <w14:ligatures w14:val="none"/>
              </w:rPr>
            </w:pPr>
          </w:p>
          <w:p w14:paraId="045513CE" w14:textId="7AA1A580" w:rsidR="00C56FB3" w:rsidRPr="009F50A1" w:rsidRDefault="00C56FB3" w:rsidP="007A37B7">
            <w:pPr>
              <w:spacing w:after="40"/>
              <w:rPr>
                <w:rFonts w:ascii="Calibri" w:eastAsia="Times New Roman" w:hAnsi="Calibri" w:cs="Calibri"/>
                <w:color w:val="0D0D0D"/>
                <w:kern w:val="0"/>
                <w:sz w:val="20"/>
                <w:szCs w:val="20"/>
                <w:lang w:eastAsia="fr-FR"/>
                <w14:ligatures w14:val="none"/>
              </w:rPr>
            </w:pPr>
          </w:p>
        </w:tc>
        <w:tc>
          <w:tcPr>
            <w:tcW w:w="0" w:type="auto"/>
            <w:hideMark/>
          </w:tcPr>
          <w:p w14:paraId="4EE58380" w14:textId="77777777" w:rsidR="00C56FB3" w:rsidRPr="009F50A1" w:rsidRDefault="00C56FB3"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Monthly &amp; Annually</w:t>
            </w:r>
          </w:p>
        </w:tc>
        <w:tc>
          <w:tcPr>
            <w:tcW w:w="0" w:type="auto"/>
            <w:hideMark/>
          </w:tcPr>
          <w:p w14:paraId="55F2B225" w14:textId="2311DD9B" w:rsidR="008D0E4F" w:rsidRPr="009F50A1" w:rsidRDefault="00670FAA" w:rsidP="00670FAA">
            <w:pPr>
              <w:spacing w:after="40"/>
              <w:rPr>
                <w:rFonts w:ascii="Calibri" w:eastAsia="Times New Roman" w:hAnsi="Calibri" w:cs="Calibri"/>
                <w:color w:val="0D0D0D"/>
                <w:kern w:val="0"/>
                <w:sz w:val="20"/>
                <w:szCs w:val="20"/>
                <w:lang w:eastAsia="fr-FR"/>
                <w14:ligatures w14:val="none"/>
              </w:rPr>
            </w:pPr>
            <w:r w:rsidRPr="00670FAA">
              <w:rPr>
                <w:rFonts w:ascii="Calibri" w:eastAsia="Times New Roman" w:hAnsi="Calibri" w:cs="Calibri"/>
                <w:b/>
                <w:bCs/>
                <w:color w:val="0D0D0D"/>
                <w:kern w:val="0"/>
                <w:sz w:val="20"/>
                <w:szCs w:val="20"/>
                <w:lang w:eastAsia="fr-FR"/>
                <w14:ligatures w14:val="none"/>
              </w:rPr>
              <w:t>CSV, JSON</w:t>
            </w:r>
            <w:r w:rsidRPr="00670FAA">
              <w:rPr>
                <w:rFonts w:ascii="Calibri" w:eastAsia="Times New Roman" w:hAnsi="Calibri" w:cs="Calibri"/>
                <w:color w:val="0D0D0D"/>
                <w:kern w:val="0"/>
                <w:sz w:val="20"/>
                <w:szCs w:val="20"/>
                <w:lang w:eastAsia="fr-FR"/>
                <w14:ligatures w14:val="none"/>
              </w:rPr>
              <w:t xml:space="preserve"> (Excel optional)</w:t>
            </w:r>
          </w:p>
        </w:tc>
        <w:tc>
          <w:tcPr>
            <w:tcW w:w="0" w:type="auto"/>
            <w:hideMark/>
          </w:tcPr>
          <w:p w14:paraId="5AA91DD1" w14:textId="677F7179" w:rsidR="00C56FB3" w:rsidRPr="009F50A1" w:rsidRDefault="00E61FFC"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Ministry</w:t>
            </w:r>
            <w:r w:rsidR="00762146" w:rsidRPr="009F50A1">
              <w:rPr>
                <w:rFonts w:ascii="Calibri" w:eastAsia="Times New Roman" w:hAnsi="Calibri" w:cs="Calibri"/>
                <w:color w:val="0D0D0D"/>
                <w:kern w:val="0"/>
                <w:sz w:val="20"/>
                <w:szCs w:val="20"/>
                <w:lang w:eastAsia="fr-FR"/>
                <w14:ligatures w14:val="none"/>
              </w:rPr>
              <w:t xml:space="preserve"> </w:t>
            </w:r>
            <w:r w:rsidR="00BF558C" w:rsidRPr="009F50A1">
              <w:rPr>
                <w:rFonts w:ascii="Calibri" w:eastAsia="Times New Roman" w:hAnsi="Calibri" w:cs="Calibri"/>
                <w:color w:val="0D0D0D"/>
                <w:kern w:val="0"/>
                <w:sz w:val="20"/>
                <w:szCs w:val="20"/>
                <w:lang w:eastAsia="fr-FR"/>
                <w14:ligatures w14:val="none"/>
              </w:rPr>
              <w:t>website,</w:t>
            </w:r>
            <w:r w:rsidR="00C56FB3" w:rsidRPr="009F50A1">
              <w:rPr>
                <w:rFonts w:ascii="Calibri" w:eastAsia="Times New Roman" w:hAnsi="Calibri" w:cs="Calibri"/>
                <w:color w:val="0D0D0D"/>
                <w:kern w:val="0"/>
                <w:sz w:val="20"/>
                <w:szCs w:val="20"/>
                <w:lang w:eastAsia="fr-FR"/>
                <w14:ligatures w14:val="none"/>
              </w:rPr>
              <w:t xml:space="preserve"> </w:t>
            </w:r>
            <w:r w:rsidR="00C11B2C">
              <w:rPr>
                <w:rFonts w:ascii="Calibri" w:eastAsia="Times New Roman" w:hAnsi="Calibri" w:cs="Calibri"/>
                <w:color w:val="0D0D0D"/>
                <w:kern w:val="0"/>
                <w:sz w:val="20"/>
                <w:szCs w:val="20"/>
                <w:lang w:eastAsia="fr-FR"/>
                <w14:ligatures w14:val="none"/>
              </w:rPr>
              <w:t>NRTC</w:t>
            </w:r>
            <w:r w:rsidR="00C56FB3" w:rsidRPr="009F50A1">
              <w:rPr>
                <w:rFonts w:ascii="Calibri" w:eastAsia="Times New Roman" w:hAnsi="Calibri" w:cs="Calibri"/>
                <w:color w:val="0D0D0D"/>
                <w:kern w:val="0"/>
                <w:sz w:val="20"/>
                <w:szCs w:val="20"/>
                <w:lang w:eastAsia="fr-FR"/>
                <w14:ligatures w14:val="none"/>
              </w:rPr>
              <w:t xml:space="preserve"> Iraq website</w:t>
            </w:r>
          </w:p>
        </w:tc>
      </w:tr>
      <w:tr w:rsidR="00762146" w:rsidRPr="009F50A1" w14:paraId="4264FFE4" w14:textId="77777777" w:rsidTr="00B32D73">
        <w:tc>
          <w:tcPr>
            <w:tcW w:w="0" w:type="auto"/>
            <w:hideMark/>
          </w:tcPr>
          <w:p w14:paraId="36B814A7" w14:textId="03F38B57" w:rsidR="00C56FB3" w:rsidRPr="009F50A1" w:rsidRDefault="00C56FB3" w:rsidP="00120990">
            <w:pPr>
              <w:spacing w:after="40"/>
              <w:rPr>
                <w:rFonts w:ascii="Calibri" w:eastAsia="Times New Roman" w:hAnsi="Calibri" w:cs="Calibri"/>
                <w:b/>
                <w:bCs/>
                <w:color w:val="0D0D0D"/>
                <w:kern w:val="0"/>
                <w:sz w:val="20"/>
                <w:szCs w:val="20"/>
                <w:lang w:eastAsia="fr-FR"/>
                <w14:ligatures w14:val="none"/>
              </w:rPr>
            </w:pPr>
            <w:r w:rsidRPr="009F50A1">
              <w:rPr>
                <w:rFonts w:ascii="Calibri" w:eastAsia="Times New Roman" w:hAnsi="Calibri" w:cs="Calibri"/>
                <w:b/>
                <w:bCs/>
                <w:color w:val="0D0D0D"/>
                <w:kern w:val="0"/>
                <w:sz w:val="20"/>
                <w:szCs w:val="20"/>
                <w:lang w:eastAsia="fr-FR"/>
                <w14:ligatures w14:val="none"/>
              </w:rPr>
              <w:t xml:space="preserve">Production Monitoring &amp; </w:t>
            </w:r>
            <w:r w:rsidR="009F50A1" w:rsidRPr="009F50A1">
              <w:rPr>
                <w:rFonts w:ascii="Calibri" w:eastAsia="Times New Roman" w:hAnsi="Calibri" w:cs="Calibri"/>
                <w:b/>
                <w:bCs/>
                <w:color w:val="0D0D0D"/>
                <w:kern w:val="0"/>
                <w:sz w:val="20"/>
                <w:szCs w:val="20"/>
                <w:lang w:eastAsia="fr-FR"/>
                <w14:ligatures w14:val="none"/>
              </w:rPr>
              <w:t>Verification</w:t>
            </w:r>
          </w:p>
        </w:tc>
        <w:tc>
          <w:tcPr>
            <w:tcW w:w="0" w:type="auto"/>
            <w:hideMark/>
          </w:tcPr>
          <w:p w14:paraId="4EFD27E1" w14:textId="77777777" w:rsidR="00C56FB3" w:rsidRPr="009F50A1" w:rsidRDefault="00C56FB3"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Description of mechanisms used to monitor and verify production data.</w:t>
            </w:r>
          </w:p>
        </w:tc>
        <w:tc>
          <w:tcPr>
            <w:tcW w:w="0" w:type="auto"/>
            <w:hideMark/>
          </w:tcPr>
          <w:p w14:paraId="60EFBB14" w14:textId="65F1CDEB" w:rsidR="00C56FB3" w:rsidRPr="009F50A1" w:rsidRDefault="00C56FB3"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 xml:space="preserve">Ministry of Oil, Ministry of Industry and Minerals, </w:t>
            </w:r>
            <w:r w:rsidR="00F827AD" w:rsidRPr="009F50A1">
              <w:rPr>
                <w:rFonts w:ascii="Calibri" w:eastAsia="Times New Roman" w:hAnsi="Calibri" w:cs="Calibri"/>
                <w:color w:val="0D0D0D"/>
                <w:kern w:val="0"/>
                <w:sz w:val="20"/>
                <w:szCs w:val="20"/>
                <w:lang w:eastAsia="fr-FR"/>
                <w14:ligatures w14:val="none"/>
              </w:rPr>
              <w:t>SOEs</w:t>
            </w:r>
          </w:p>
        </w:tc>
        <w:tc>
          <w:tcPr>
            <w:tcW w:w="0" w:type="auto"/>
            <w:hideMark/>
          </w:tcPr>
          <w:p w14:paraId="67E8CE06" w14:textId="77777777" w:rsidR="00C56FB3" w:rsidRPr="009F50A1" w:rsidRDefault="00C56FB3"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National and project level</w:t>
            </w:r>
          </w:p>
        </w:tc>
        <w:tc>
          <w:tcPr>
            <w:tcW w:w="0" w:type="auto"/>
            <w:hideMark/>
          </w:tcPr>
          <w:p w14:paraId="69349B43" w14:textId="77777777" w:rsidR="00C56FB3" w:rsidRPr="009F50A1" w:rsidRDefault="00C56FB3"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Annually</w:t>
            </w:r>
          </w:p>
        </w:tc>
        <w:tc>
          <w:tcPr>
            <w:tcW w:w="0" w:type="auto"/>
            <w:hideMark/>
          </w:tcPr>
          <w:p w14:paraId="22354670" w14:textId="7F6F3CED" w:rsidR="00C56FB3" w:rsidRPr="009F50A1" w:rsidRDefault="00473FCD" w:rsidP="00473FCD">
            <w:pPr>
              <w:spacing w:after="40"/>
              <w:rPr>
                <w:rFonts w:ascii="Calibri" w:eastAsia="Times New Roman" w:hAnsi="Calibri" w:cs="Calibri"/>
                <w:color w:val="0D0D0D"/>
                <w:kern w:val="0"/>
                <w:sz w:val="20"/>
                <w:szCs w:val="20"/>
                <w:lang w:eastAsia="fr-FR"/>
                <w14:ligatures w14:val="none"/>
              </w:rPr>
            </w:pPr>
            <w:r w:rsidRPr="00473FCD">
              <w:rPr>
                <w:rFonts w:ascii="Calibri" w:eastAsia="Times New Roman" w:hAnsi="Calibri" w:cs="Calibri"/>
                <w:b/>
                <w:bCs/>
                <w:color w:val="0D0D0D"/>
                <w:kern w:val="0"/>
                <w:sz w:val="20"/>
                <w:szCs w:val="20"/>
                <w:lang w:eastAsia="fr-FR"/>
                <w14:ligatures w14:val="none"/>
              </w:rPr>
              <w:t>HTML</w:t>
            </w:r>
            <w:r w:rsidRPr="00473FCD">
              <w:rPr>
                <w:rFonts w:ascii="Calibri" w:eastAsia="Times New Roman" w:hAnsi="Calibri" w:cs="Calibri"/>
                <w:color w:val="0D0D0D"/>
                <w:kern w:val="0"/>
                <w:sz w:val="20"/>
                <w:szCs w:val="20"/>
                <w:lang w:eastAsia="fr-FR"/>
                <w14:ligatures w14:val="none"/>
              </w:rPr>
              <w:t xml:space="preserve"> (PDF optional)</w:t>
            </w:r>
          </w:p>
        </w:tc>
        <w:tc>
          <w:tcPr>
            <w:tcW w:w="0" w:type="auto"/>
            <w:hideMark/>
          </w:tcPr>
          <w:p w14:paraId="70DBFC25" w14:textId="66E15DE9" w:rsidR="00C56FB3" w:rsidRPr="009F50A1" w:rsidRDefault="00C11B2C" w:rsidP="00120990">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C56FB3" w:rsidRPr="009F50A1">
              <w:rPr>
                <w:rFonts w:ascii="Calibri" w:eastAsia="Times New Roman" w:hAnsi="Calibri" w:cs="Calibri"/>
                <w:color w:val="0D0D0D"/>
                <w:kern w:val="0"/>
                <w:sz w:val="20"/>
                <w:szCs w:val="20"/>
                <w:lang w:eastAsia="fr-FR"/>
                <w14:ligatures w14:val="none"/>
              </w:rPr>
              <w:t xml:space="preserve"> Iraq portal, Government reports</w:t>
            </w:r>
          </w:p>
        </w:tc>
      </w:tr>
      <w:tr w:rsidR="001922CF" w:rsidRPr="009F50A1" w14:paraId="1A0B66DF" w14:textId="77777777" w:rsidTr="00B32D73">
        <w:tc>
          <w:tcPr>
            <w:tcW w:w="0" w:type="auto"/>
            <w:vMerge w:val="restart"/>
            <w:hideMark/>
          </w:tcPr>
          <w:p w14:paraId="37B9AFC3" w14:textId="4DAA8A25" w:rsidR="001922CF" w:rsidRPr="009F50A1" w:rsidRDefault="001922CF" w:rsidP="00120990">
            <w:pPr>
              <w:spacing w:after="40"/>
              <w:rPr>
                <w:rFonts w:ascii="Calibri" w:eastAsia="Times New Roman" w:hAnsi="Calibri" w:cs="Calibri"/>
                <w:b/>
                <w:bCs/>
                <w:color w:val="0D0D0D"/>
                <w:kern w:val="0"/>
                <w:sz w:val="20"/>
                <w:szCs w:val="20"/>
                <w:lang w:eastAsia="fr-FR"/>
                <w14:ligatures w14:val="none"/>
              </w:rPr>
            </w:pPr>
            <w:r w:rsidRPr="009F50A1">
              <w:rPr>
                <w:rFonts w:ascii="Calibri" w:eastAsia="Times New Roman" w:hAnsi="Calibri" w:cs="Calibri"/>
                <w:b/>
                <w:bCs/>
                <w:color w:val="0D0D0D"/>
                <w:kern w:val="0"/>
                <w:sz w:val="20"/>
                <w:szCs w:val="20"/>
                <w:lang w:eastAsia="fr-FR"/>
                <w14:ligatures w14:val="none"/>
              </w:rPr>
              <w:t>Export Volumes &amp; values</w:t>
            </w:r>
          </w:p>
        </w:tc>
        <w:tc>
          <w:tcPr>
            <w:tcW w:w="0" w:type="auto"/>
            <w:hideMark/>
          </w:tcPr>
          <w:p w14:paraId="5B9F9B16" w14:textId="62C2E360" w:rsidR="001922CF" w:rsidRPr="009F50A1" w:rsidRDefault="001922CF"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Total exported volumes and value</w:t>
            </w:r>
          </w:p>
          <w:p w14:paraId="458DAF91" w14:textId="77777777" w:rsidR="001922CF" w:rsidRPr="009F50A1" w:rsidRDefault="001922CF" w:rsidP="00120990">
            <w:pPr>
              <w:spacing w:after="40"/>
              <w:rPr>
                <w:rFonts w:ascii="Calibri" w:eastAsia="Times New Roman" w:hAnsi="Calibri" w:cs="Calibri"/>
                <w:color w:val="0D0D0D"/>
                <w:kern w:val="0"/>
                <w:sz w:val="20"/>
                <w:szCs w:val="20"/>
                <w:lang w:eastAsia="fr-FR"/>
                <w14:ligatures w14:val="none"/>
              </w:rPr>
            </w:pPr>
          </w:p>
          <w:p w14:paraId="69988ED3" w14:textId="77777777" w:rsidR="001922CF" w:rsidRPr="009F50A1" w:rsidRDefault="001922CF" w:rsidP="00120990">
            <w:pPr>
              <w:spacing w:after="40"/>
              <w:rPr>
                <w:rFonts w:ascii="Calibri" w:eastAsia="Times New Roman" w:hAnsi="Calibri" w:cs="Calibri"/>
                <w:color w:val="0D0D0D"/>
                <w:kern w:val="0"/>
                <w:sz w:val="20"/>
                <w:szCs w:val="20"/>
                <w:lang w:eastAsia="fr-FR"/>
                <w14:ligatures w14:val="none"/>
              </w:rPr>
            </w:pPr>
          </w:p>
        </w:tc>
        <w:tc>
          <w:tcPr>
            <w:tcW w:w="0" w:type="auto"/>
            <w:hideMark/>
          </w:tcPr>
          <w:p w14:paraId="4976A34D" w14:textId="77777777" w:rsidR="001922CF" w:rsidRPr="009F50A1" w:rsidRDefault="001922CF"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Ministry of Oil, SOMO, Ministry of Industry and Minerals, Ministry of Natural Resources (KRG)</w:t>
            </w:r>
          </w:p>
          <w:p w14:paraId="1CAC1D54" w14:textId="676391F8" w:rsidR="001922CF" w:rsidRPr="009F50A1" w:rsidRDefault="001922CF"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Private companies</w:t>
            </w:r>
          </w:p>
        </w:tc>
        <w:tc>
          <w:tcPr>
            <w:tcW w:w="0" w:type="auto"/>
            <w:hideMark/>
          </w:tcPr>
          <w:p w14:paraId="37A50D43" w14:textId="1DA176CC" w:rsidR="001922CF" w:rsidRPr="009F50A1" w:rsidRDefault="001922CF" w:rsidP="006D6F8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By company,</w:t>
            </w:r>
            <w:r w:rsidRPr="009F50A1">
              <w:rPr>
                <w:rFonts w:ascii="Calibri" w:eastAsia="Times New Roman" w:hAnsi="Calibri" w:cs="Calibri"/>
                <w:color w:val="0D0D0D"/>
                <w:kern w:val="0"/>
                <w:sz w:val="20"/>
                <w:szCs w:val="20"/>
                <w:lang w:eastAsia="fr-FR"/>
                <w14:ligatures w14:val="none"/>
              </w:rPr>
              <w:br/>
              <w:t>commodity, transaction, buyer,</w:t>
            </w:r>
            <w:r w:rsidRPr="009F50A1">
              <w:rPr>
                <w:rFonts w:ascii="Calibri" w:eastAsia="Times New Roman" w:hAnsi="Calibri" w:cs="Calibri"/>
                <w:color w:val="0D0D0D"/>
                <w:kern w:val="0"/>
                <w:sz w:val="20"/>
                <w:szCs w:val="20"/>
                <w:lang w:eastAsia="fr-FR"/>
                <w14:ligatures w14:val="none"/>
              </w:rPr>
              <w:br/>
              <w:t>destination country,</w:t>
            </w:r>
          </w:p>
          <w:p w14:paraId="11EDEFD8" w14:textId="2B596F46" w:rsidR="001922CF" w:rsidRPr="009F50A1" w:rsidRDefault="001922CF" w:rsidP="006D6F8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Vessel Loadings</w:t>
            </w:r>
          </w:p>
        </w:tc>
        <w:tc>
          <w:tcPr>
            <w:tcW w:w="0" w:type="auto"/>
            <w:hideMark/>
          </w:tcPr>
          <w:p w14:paraId="7016DA27" w14:textId="77777777" w:rsidR="001922CF" w:rsidRPr="009F50A1" w:rsidRDefault="001922CF"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Monthly &amp; Annually</w:t>
            </w:r>
          </w:p>
        </w:tc>
        <w:tc>
          <w:tcPr>
            <w:tcW w:w="0" w:type="auto"/>
            <w:hideMark/>
          </w:tcPr>
          <w:p w14:paraId="37BBFC36" w14:textId="79ECB769" w:rsidR="001922CF" w:rsidRPr="009F50A1" w:rsidRDefault="00473FCD" w:rsidP="00473FCD">
            <w:pPr>
              <w:spacing w:after="40"/>
              <w:rPr>
                <w:rFonts w:ascii="Calibri" w:eastAsia="Times New Roman" w:hAnsi="Calibri" w:cs="Calibri"/>
                <w:color w:val="0D0D0D"/>
                <w:kern w:val="0"/>
                <w:sz w:val="20"/>
                <w:szCs w:val="20"/>
                <w:lang w:eastAsia="fr-FR"/>
                <w14:ligatures w14:val="none"/>
              </w:rPr>
            </w:pPr>
            <w:r w:rsidRPr="00473FCD">
              <w:rPr>
                <w:rFonts w:ascii="Calibri" w:eastAsia="Times New Roman" w:hAnsi="Calibri" w:cs="Calibri"/>
                <w:color w:val="0D0D0D"/>
                <w:kern w:val="0"/>
                <w:sz w:val="20"/>
                <w:szCs w:val="20"/>
                <w:lang w:eastAsia="fr-FR"/>
                <w14:ligatures w14:val="none"/>
              </w:rPr>
              <w:t>CSV, JSON</w:t>
            </w:r>
          </w:p>
        </w:tc>
        <w:tc>
          <w:tcPr>
            <w:tcW w:w="0" w:type="auto"/>
            <w:hideMark/>
          </w:tcPr>
          <w:p w14:paraId="41C768C7" w14:textId="7C0AC13F" w:rsidR="001922CF" w:rsidRPr="009F50A1" w:rsidRDefault="001922CF"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 xml:space="preserve">Ministry website, SOMO website, </w:t>
            </w:r>
            <w:r w:rsidR="00C11B2C">
              <w:rPr>
                <w:rFonts w:ascii="Calibri" w:eastAsia="Times New Roman" w:hAnsi="Calibri" w:cs="Calibri"/>
                <w:color w:val="0D0D0D"/>
                <w:kern w:val="0"/>
                <w:sz w:val="20"/>
                <w:szCs w:val="20"/>
                <w:lang w:eastAsia="fr-FR"/>
                <w14:ligatures w14:val="none"/>
              </w:rPr>
              <w:t>NRTC</w:t>
            </w:r>
            <w:r w:rsidRPr="009F50A1">
              <w:rPr>
                <w:rFonts w:ascii="Calibri" w:eastAsia="Times New Roman" w:hAnsi="Calibri" w:cs="Calibri"/>
                <w:color w:val="0D0D0D"/>
                <w:kern w:val="0"/>
                <w:sz w:val="20"/>
                <w:szCs w:val="20"/>
                <w:lang w:eastAsia="fr-FR"/>
                <w14:ligatures w14:val="none"/>
              </w:rPr>
              <w:t xml:space="preserve"> Iraq website</w:t>
            </w:r>
          </w:p>
        </w:tc>
      </w:tr>
      <w:tr w:rsidR="001922CF" w:rsidRPr="009F50A1" w14:paraId="57A66487" w14:textId="77777777" w:rsidTr="00B32D73">
        <w:tc>
          <w:tcPr>
            <w:tcW w:w="0" w:type="auto"/>
            <w:vMerge/>
          </w:tcPr>
          <w:p w14:paraId="1E1B11F2" w14:textId="77777777" w:rsidR="001922CF" w:rsidRPr="00CB6B9F" w:rsidRDefault="001922CF" w:rsidP="001922CF">
            <w:pPr>
              <w:spacing w:after="40"/>
              <w:rPr>
                <w:rFonts w:ascii="Calibri" w:eastAsia="Times New Roman" w:hAnsi="Calibri" w:cs="Calibri"/>
                <w:b/>
                <w:bCs/>
                <w:color w:val="0D0D0D"/>
                <w:kern w:val="0"/>
                <w:sz w:val="20"/>
                <w:szCs w:val="20"/>
                <w:lang w:eastAsia="fr-FR"/>
                <w14:ligatures w14:val="none"/>
              </w:rPr>
            </w:pPr>
          </w:p>
        </w:tc>
        <w:tc>
          <w:tcPr>
            <w:tcW w:w="0" w:type="auto"/>
          </w:tcPr>
          <w:p w14:paraId="0F8C2B70" w14:textId="617E343C" w:rsidR="001922CF" w:rsidRPr="009F50A1" w:rsidRDefault="001922CF" w:rsidP="001922CF">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Financial reconciliation between expected Export revenue and Actual</w:t>
            </w:r>
          </w:p>
        </w:tc>
        <w:tc>
          <w:tcPr>
            <w:tcW w:w="0" w:type="auto"/>
          </w:tcPr>
          <w:p w14:paraId="0F6B15D9" w14:textId="63A86E75" w:rsidR="001922CF" w:rsidRPr="009F50A1" w:rsidRDefault="001922CF" w:rsidP="001922CF">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Ministry of Oil, SOMO,</w:t>
            </w:r>
          </w:p>
        </w:tc>
        <w:tc>
          <w:tcPr>
            <w:tcW w:w="0" w:type="auto"/>
          </w:tcPr>
          <w:p w14:paraId="1A31D51D" w14:textId="77777777" w:rsidR="001922CF" w:rsidRPr="009F50A1" w:rsidRDefault="001922CF" w:rsidP="001922CF">
            <w:pPr>
              <w:spacing w:after="40"/>
              <w:rPr>
                <w:rFonts w:ascii="Calibri" w:eastAsia="Times New Roman" w:hAnsi="Calibri" w:cs="Calibri"/>
                <w:color w:val="0D0D0D"/>
                <w:kern w:val="0"/>
                <w:sz w:val="20"/>
                <w:szCs w:val="20"/>
                <w:lang w:eastAsia="fr-FR"/>
                <w14:ligatures w14:val="none"/>
              </w:rPr>
            </w:pPr>
          </w:p>
        </w:tc>
        <w:tc>
          <w:tcPr>
            <w:tcW w:w="0" w:type="auto"/>
          </w:tcPr>
          <w:p w14:paraId="04C9849E" w14:textId="67F393C3" w:rsidR="001922CF" w:rsidRPr="009F50A1" w:rsidRDefault="001922CF" w:rsidP="001922CF">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 xml:space="preserve">Quarterly </w:t>
            </w:r>
          </w:p>
        </w:tc>
        <w:tc>
          <w:tcPr>
            <w:tcW w:w="0" w:type="auto"/>
          </w:tcPr>
          <w:p w14:paraId="41F15506" w14:textId="2B8D7CCA" w:rsidR="001922CF" w:rsidRPr="009F50A1" w:rsidRDefault="00473FCD" w:rsidP="00473FCD">
            <w:pPr>
              <w:spacing w:after="40"/>
              <w:rPr>
                <w:rFonts w:ascii="Calibri" w:eastAsia="Times New Roman" w:hAnsi="Calibri" w:cs="Calibri"/>
                <w:color w:val="0D0D0D"/>
                <w:kern w:val="0"/>
                <w:sz w:val="20"/>
                <w:szCs w:val="20"/>
                <w:lang w:eastAsia="fr-FR"/>
                <w14:ligatures w14:val="none"/>
              </w:rPr>
            </w:pPr>
            <w:r w:rsidRPr="00473FCD">
              <w:rPr>
                <w:rFonts w:ascii="Calibri" w:eastAsia="Times New Roman" w:hAnsi="Calibri" w:cs="Calibri"/>
                <w:b/>
                <w:bCs/>
                <w:color w:val="0D0D0D"/>
                <w:kern w:val="0"/>
                <w:sz w:val="20"/>
                <w:szCs w:val="20"/>
                <w:lang w:eastAsia="fr-FR"/>
                <w14:ligatures w14:val="none"/>
              </w:rPr>
              <w:t>CSV, JSON</w:t>
            </w:r>
            <w:r w:rsidRPr="00473FCD">
              <w:rPr>
                <w:rFonts w:ascii="Calibri" w:eastAsia="Times New Roman" w:hAnsi="Calibri" w:cs="Calibri"/>
                <w:color w:val="0D0D0D"/>
                <w:kern w:val="0"/>
                <w:sz w:val="20"/>
                <w:szCs w:val="20"/>
                <w:lang w:eastAsia="fr-FR"/>
                <w14:ligatures w14:val="none"/>
              </w:rPr>
              <w:t xml:space="preserve"> (Excel optional)</w:t>
            </w:r>
          </w:p>
        </w:tc>
        <w:tc>
          <w:tcPr>
            <w:tcW w:w="0" w:type="auto"/>
          </w:tcPr>
          <w:p w14:paraId="6257A6C9" w14:textId="57B343B2" w:rsidR="001922CF" w:rsidRPr="009F50A1" w:rsidRDefault="001922CF" w:rsidP="001922CF">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 xml:space="preserve">Ministry website, SOMO website, </w:t>
            </w:r>
            <w:r w:rsidR="00C11B2C">
              <w:rPr>
                <w:rFonts w:ascii="Calibri" w:eastAsia="Times New Roman" w:hAnsi="Calibri" w:cs="Calibri"/>
                <w:color w:val="0D0D0D"/>
                <w:kern w:val="0"/>
                <w:sz w:val="20"/>
                <w:szCs w:val="20"/>
                <w:lang w:eastAsia="fr-FR"/>
                <w14:ligatures w14:val="none"/>
              </w:rPr>
              <w:t>NRTC</w:t>
            </w:r>
            <w:r w:rsidRPr="009F50A1">
              <w:rPr>
                <w:rFonts w:ascii="Calibri" w:eastAsia="Times New Roman" w:hAnsi="Calibri" w:cs="Calibri"/>
                <w:color w:val="0D0D0D"/>
                <w:kern w:val="0"/>
                <w:sz w:val="20"/>
                <w:szCs w:val="20"/>
                <w:lang w:eastAsia="fr-FR"/>
                <w14:ligatures w14:val="none"/>
              </w:rPr>
              <w:t xml:space="preserve"> Iraq website</w:t>
            </w:r>
          </w:p>
        </w:tc>
      </w:tr>
    </w:tbl>
    <w:p w14:paraId="1C27F606" w14:textId="642B1CFF" w:rsidR="0038251E" w:rsidRPr="006C2719" w:rsidRDefault="005F017B" w:rsidP="0038251E">
      <w:pPr>
        <w:pStyle w:val="Heading4"/>
        <w:spacing w:before="120" w:after="120"/>
        <w:rPr>
          <w:rFonts w:ascii="Kohinoor Devanagari" w:hAnsi="Kohinoor Devanagari" w:cs="Kohinoor Devanagari"/>
          <w:b/>
          <w:bCs/>
          <w:sz w:val="22"/>
          <w:szCs w:val="22"/>
        </w:rPr>
      </w:pPr>
      <w:r w:rsidRPr="00C52386">
        <w:rPr>
          <w:rFonts w:ascii="Kohinoor Devanagari" w:hAnsi="Kohinoor Devanagari" w:cs="Kohinoor Devanagari"/>
          <w:b/>
          <w:bCs/>
          <w:sz w:val="22"/>
          <w:szCs w:val="22"/>
        </w:rPr>
        <w:t xml:space="preserve">6.2. </w:t>
      </w:r>
      <w:r w:rsidR="000B5A74" w:rsidRPr="006C2719">
        <w:rPr>
          <w:rFonts w:ascii="Kohinoor Devanagari" w:hAnsi="Kohinoor Devanagari" w:cs="Kohinoor Devanagari"/>
          <w:b/>
          <w:bCs/>
          <w:sz w:val="22"/>
          <w:szCs w:val="22"/>
        </w:rPr>
        <w:t>Greenhouse gas emissions</w:t>
      </w:r>
      <w:r w:rsidR="0038251E" w:rsidRPr="006C2719">
        <w:rPr>
          <w:rFonts w:ascii="Kohinoor Devanagari" w:hAnsi="Kohinoor Devanagari" w:cs="Kohinoor Devanagari"/>
          <w:b/>
          <w:bCs/>
          <w:sz w:val="22"/>
          <w:szCs w:val="22"/>
        </w:rPr>
        <w:t xml:space="preserve"> (Requirements 3.</w:t>
      </w:r>
      <w:r w:rsidR="000B5A74" w:rsidRPr="006C2719">
        <w:rPr>
          <w:rFonts w:ascii="Kohinoor Devanagari" w:hAnsi="Kohinoor Devanagari" w:cs="Kohinoor Devanagari"/>
          <w:b/>
          <w:bCs/>
          <w:sz w:val="22"/>
          <w:szCs w:val="22"/>
        </w:rPr>
        <w:t>4</w:t>
      </w:r>
      <w:r w:rsidR="0038251E" w:rsidRPr="006C2719">
        <w:rPr>
          <w:rFonts w:ascii="Kohinoor Devanagari" w:hAnsi="Kohinoor Devanagari" w:cs="Kohinoor Devanagari"/>
          <w:b/>
          <w:bCs/>
          <w:sz w:val="22"/>
          <w:szCs w:val="22"/>
        </w:rPr>
        <w:t>)</w:t>
      </w:r>
    </w:p>
    <w:p w14:paraId="200973C9" w14:textId="77777777" w:rsidR="000B5A74" w:rsidRPr="006C2719" w:rsidRDefault="000B5A74" w:rsidP="000B5A74">
      <w:pPr>
        <w:rPr>
          <w:rFonts w:ascii="Kohinoor Devanagari" w:eastAsia="Times New Roman" w:hAnsi="Kohinoor Devanagari" w:cs="Kohinoor Devanagari"/>
          <w:b/>
          <w:bCs/>
          <w:color w:val="0D0D0D"/>
          <w:kern w:val="0"/>
          <w:sz w:val="22"/>
          <w:szCs w:val="22"/>
          <w:lang w:eastAsia="fr-FR"/>
          <w14:ligatures w14:val="none"/>
        </w:rPr>
      </w:pPr>
      <w:r w:rsidRPr="006C2719">
        <w:rPr>
          <w:rFonts w:ascii="Kohinoor Devanagari" w:eastAsia="Times New Roman" w:hAnsi="Kohinoor Devanagari" w:cs="Kohinoor Devanagari"/>
          <w:b/>
          <w:bCs/>
          <w:color w:val="0D0D0D"/>
          <w:kern w:val="0"/>
          <w:sz w:val="22"/>
          <w:szCs w:val="22"/>
          <w:lang w:eastAsia="fr-FR"/>
          <w14:ligatures w14:val="none"/>
        </w:rPr>
        <w:t>Objective</w:t>
      </w:r>
    </w:p>
    <w:p w14:paraId="1F7796CC" w14:textId="77777777" w:rsidR="006C2719" w:rsidRPr="00C52386" w:rsidRDefault="006C2719" w:rsidP="006C2719">
      <w:p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C52386">
        <w:rPr>
          <w:rFonts w:ascii="Kohinoor Devanagari" w:eastAsia="Times New Roman" w:hAnsi="Kohinoor Devanagari" w:cs="Kohinoor Devanagari"/>
          <w:color w:val="0D0D0D"/>
          <w:kern w:val="0"/>
          <w:sz w:val="22"/>
          <w:szCs w:val="22"/>
          <w:lang w:eastAsia="fr-FR"/>
          <w14:ligatures w14:val="none"/>
        </w:rPr>
        <w:t xml:space="preserve">This section ensures the </w:t>
      </w:r>
      <w:r w:rsidRPr="00C52386">
        <w:rPr>
          <w:rFonts w:ascii="Kohinoor Devanagari" w:eastAsia="Times New Roman" w:hAnsi="Kohinoor Devanagari" w:cs="Kohinoor Devanagari"/>
          <w:b/>
          <w:bCs/>
          <w:color w:val="0D0D0D"/>
          <w:kern w:val="0"/>
          <w:sz w:val="22"/>
          <w:szCs w:val="22"/>
          <w:lang w:eastAsia="fr-FR"/>
          <w14:ligatures w14:val="none"/>
        </w:rPr>
        <w:t>systematic disclosure of greenhouse gas (GHG) emissions</w:t>
      </w:r>
      <w:r w:rsidRPr="00C52386">
        <w:rPr>
          <w:rFonts w:ascii="Kohinoor Devanagari" w:eastAsia="Times New Roman" w:hAnsi="Kohinoor Devanagari" w:cs="Kohinoor Devanagari"/>
          <w:color w:val="0D0D0D"/>
          <w:kern w:val="0"/>
          <w:sz w:val="22"/>
          <w:szCs w:val="22"/>
          <w:lang w:eastAsia="fr-FR"/>
          <w14:ligatures w14:val="none"/>
        </w:rPr>
        <w:t xml:space="preserve"> resulting from extractive sector activities in Iraq. The objective is to enhance public understanding of the environmental footprint of the oil, gas, and mining industries, and to promote alignment with national and global climate commitments.</w:t>
      </w:r>
    </w:p>
    <w:p w14:paraId="49E0E288" w14:textId="77777777" w:rsidR="006C2719" w:rsidRPr="00C52386" w:rsidRDefault="006C2719" w:rsidP="006C2719">
      <w:p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C52386">
        <w:rPr>
          <w:rFonts w:ascii="Kohinoor Devanagari" w:eastAsia="Times New Roman" w:hAnsi="Kohinoor Devanagari" w:cs="Kohinoor Devanagari"/>
          <w:color w:val="0D0D0D"/>
          <w:kern w:val="0"/>
          <w:sz w:val="22"/>
          <w:szCs w:val="22"/>
          <w:lang w:eastAsia="fr-FR"/>
          <w14:ligatures w14:val="none"/>
        </w:rPr>
        <w:t xml:space="preserve">Disclosures should, where possible, follow </w:t>
      </w:r>
      <w:r w:rsidRPr="00C52386">
        <w:rPr>
          <w:rFonts w:ascii="Kohinoor Devanagari" w:eastAsia="Times New Roman" w:hAnsi="Kohinoor Devanagari" w:cs="Kohinoor Devanagari"/>
          <w:b/>
          <w:bCs/>
          <w:color w:val="0D0D0D"/>
          <w:kern w:val="0"/>
          <w:sz w:val="22"/>
          <w:szCs w:val="22"/>
          <w:lang w:eastAsia="fr-FR"/>
          <w14:ligatures w14:val="none"/>
        </w:rPr>
        <w:t>leading international standards</w:t>
      </w:r>
      <w:r w:rsidRPr="00C52386">
        <w:rPr>
          <w:rFonts w:ascii="Kohinoor Devanagari" w:eastAsia="Times New Roman" w:hAnsi="Kohinoor Devanagari" w:cs="Kohinoor Devanagari"/>
          <w:color w:val="0D0D0D"/>
          <w:kern w:val="0"/>
          <w:sz w:val="22"/>
          <w:szCs w:val="22"/>
          <w:lang w:eastAsia="fr-FR"/>
          <w14:ligatures w14:val="none"/>
        </w:rPr>
        <w:t xml:space="preserve"> (e.g. IPCC, ISO 14064, GHG Protocol, OGMP 2.0) and be disaggregated by project or installation.</w:t>
      </w:r>
    </w:p>
    <w:p w14:paraId="39C1232D" w14:textId="77777777" w:rsidR="00B57E5D" w:rsidRPr="006C2719" w:rsidRDefault="00B57E5D" w:rsidP="00B57E5D">
      <w:pPr>
        <w:rPr>
          <w:rFonts w:ascii="Kohinoor Devanagari" w:eastAsia="Times New Roman" w:hAnsi="Kohinoor Devanagari" w:cs="Kohinoor Devanagari"/>
          <w:b/>
          <w:bCs/>
          <w:color w:val="0D0D0D"/>
          <w:kern w:val="0"/>
          <w:sz w:val="22"/>
          <w:szCs w:val="22"/>
          <w:lang w:eastAsia="fr-FR"/>
          <w14:ligatures w14:val="none"/>
        </w:rPr>
      </w:pPr>
      <w:r w:rsidRPr="006C2719">
        <w:rPr>
          <w:rFonts w:ascii="Kohinoor Devanagari" w:eastAsia="Times New Roman" w:hAnsi="Kohinoor Devanagari" w:cs="Kohinoor Devanagari"/>
          <w:b/>
          <w:bCs/>
          <w:color w:val="0D0D0D"/>
          <w:kern w:val="0"/>
          <w:sz w:val="22"/>
          <w:szCs w:val="22"/>
          <w:lang w:eastAsia="fr-FR"/>
          <w14:ligatures w14:val="none"/>
        </w:rPr>
        <w:t>Data Disclosure Requirements</w:t>
      </w:r>
    </w:p>
    <w:tbl>
      <w:tblPr>
        <w:tblStyle w:val="TableGrid"/>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161"/>
        <w:gridCol w:w="1793"/>
        <w:gridCol w:w="1354"/>
        <w:gridCol w:w="1458"/>
        <w:gridCol w:w="1116"/>
        <w:gridCol w:w="1043"/>
        <w:gridCol w:w="1413"/>
      </w:tblGrid>
      <w:tr w:rsidR="009615E5" w:rsidRPr="009615E5" w14:paraId="643F3947" w14:textId="77777777" w:rsidTr="009615E5">
        <w:trPr>
          <w:tblHeader/>
        </w:trPr>
        <w:tc>
          <w:tcPr>
            <w:tcW w:w="0" w:type="auto"/>
            <w:shd w:val="clear" w:color="auto" w:fill="748A96"/>
            <w:hideMark/>
          </w:tcPr>
          <w:p w14:paraId="480F67BD" w14:textId="77777777" w:rsidR="006A1A66" w:rsidRPr="00C52386" w:rsidRDefault="006A1A66"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Data Type</w:t>
            </w:r>
          </w:p>
        </w:tc>
        <w:tc>
          <w:tcPr>
            <w:tcW w:w="0" w:type="auto"/>
            <w:shd w:val="clear" w:color="auto" w:fill="748A96"/>
            <w:hideMark/>
          </w:tcPr>
          <w:p w14:paraId="120BA9B6" w14:textId="77777777" w:rsidR="006A1A66" w:rsidRPr="00C52386" w:rsidRDefault="006A1A66"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Description</w:t>
            </w:r>
          </w:p>
        </w:tc>
        <w:tc>
          <w:tcPr>
            <w:tcW w:w="0" w:type="auto"/>
            <w:shd w:val="clear" w:color="auto" w:fill="748A96"/>
            <w:hideMark/>
          </w:tcPr>
          <w:p w14:paraId="647A5BBE" w14:textId="77777777" w:rsidR="006A1A66" w:rsidRPr="00C52386" w:rsidRDefault="006A1A66"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Responsible Entities</w:t>
            </w:r>
          </w:p>
        </w:tc>
        <w:tc>
          <w:tcPr>
            <w:tcW w:w="0" w:type="auto"/>
            <w:shd w:val="clear" w:color="auto" w:fill="748A96"/>
            <w:hideMark/>
          </w:tcPr>
          <w:p w14:paraId="451E83CE" w14:textId="77777777" w:rsidR="006A1A66" w:rsidRPr="00C52386" w:rsidRDefault="006A1A66"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Disaggregation</w:t>
            </w:r>
          </w:p>
        </w:tc>
        <w:tc>
          <w:tcPr>
            <w:tcW w:w="0" w:type="auto"/>
            <w:shd w:val="clear" w:color="auto" w:fill="748A96"/>
            <w:hideMark/>
          </w:tcPr>
          <w:p w14:paraId="3EB3525F" w14:textId="77777777" w:rsidR="006A1A66" w:rsidRPr="00C52386" w:rsidRDefault="006A1A66"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Frequency</w:t>
            </w:r>
          </w:p>
        </w:tc>
        <w:tc>
          <w:tcPr>
            <w:tcW w:w="0" w:type="auto"/>
            <w:shd w:val="clear" w:color="auto" w:fill="748A96"/>
            <w:hideMark/>
          </w:tcPr>
          <w:p w14:paraId="006BECDE" w14:textId="77777777" w:rsidR="006A1A66" w:rsidRPr="00C52386" w:rsidRDefault="006A1A66"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Format</w:t>
            </w:r>
          </w:p>
        </w:tc>
        <w:tc>
          <w:tcPr>
            <w:tcW w:w="0" w:type="auto"/>
            <w:shd w:val="clear" w:color="auto" w:fill="748A96"/>
            <w:hideMark/>
          </w:tcPr>
          <w:p w14:paraId="476AB8C5" w14:textId="77777777" w:rsidR="006A1A66" w:rsidRPr="00C52386" w:rsidRDefault="006A1A66"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Publication Channels</w:t>
            </w:r>
          </w:p>
        </w:tc>
      </w:tr>
      <w:tr w:rsidR="00951EF1" w:rsidRPr="009F50A1" w14:paraId="71ECFEE6" w14:textId="77777777" w:rsidTr="0092022E">
        <w:tc>
          <w:tcPr>
            <w:tcW w:w="0" w:type="auto"/>
            <w:hideMark/>
          </w:tcPr>
          <w:p w14:paraId="68854AAF" w14:textId="415C7A7E" w:rsidR="006A1A66" w:rsidRPr="006C2719" w:rsidRDefault="00692F69" w:rsidP="00692F69">
            <w:pPr>
              <w:spacing w:after="40"/>
              <w:rPr>
                <w:rFonts w:ascii="Calibri" w:eastAsia="Times New Roman" w:hAnsi="Calibri" w:cs="Calibri"/>
                <w:b/>
                <w:bCs/>
                <w:color w:val="0D0D0D"/>
                <w:kern w:val="0"/>
                <w:sz w:val="20"/>
                <w:szCs w:val="20"/>
                <w:lang w:eastAsia="fr-FR"/>
                <w14:ligatures w14:val="none"/>
              </w:rPr>
            </w:pPr>
            <w:r w:rsidRPr="00692F69">
              <w:rPr>
                <w:rFonts w:ascii="Calibri" w:eastAsia="Times New Roman" w:hAnsi="Calibri" w:cs="Calibri"/>
                <w:b/>
                <w:bCs/>
                <w:color w:val="0D0D0D"/>
                <w:kern w:val="0"/>
                <w:sz w:val="20"/>
                <w:szCs w:val="20"/>
                <w:lang w:eastAsia="fr-FR"/>
                <w14:ligatures w14:val="none"/>
              </w:rPr>
              <w:t>GHG Emissions from Extractive Projects</w:t>
            </w:r>
          </w:p>
        </w:tc>
        <w:tc>
          <w:tcPr>
            <w:tcW w:w="0" w:type="auto"/>
            <w:hideMark/>
          </w:tcPr>
          <w:p w14:paraId="73F3AEF8" w14:textId="0A969065" w:rsidR="006A1A66" w:rsidRPr="006C2719" w:rsidRDefault="00692F69" w:rsidP="00692F69">
            <w:pPr>
              <w:spacing w:after="40"/>
              <w:rPr>
                <w:rFonts w:ascii="Calibri" w:eastAsia="Times New Roman" w:hAnsi="Calibri" w:cs="Calibri"/>
                <w:color w:val="0D0D0D"/>
                <w:kern w:val="0"/>
                <w:sz w:val="20"/>
                <w:szCs w:val="20"/>
                <w:lang w:eastAsia="fr-FR"/>
                <w14:ligatures w14:val="none"/>
              </w:rPr>
            </w:pPr>
            <w:r w:rsidRPr="00692F69">
              <w:rPr>
                <w:rFonts w:ascii="Calibri" w:eastAsia="Times New Roman" w:hAnsi="Calibri" w:cs="Calibri"/>
                <w:color w:val="0D0D0D"/>
                <w:kern w:val="0"/>
                <w:sz w:val="20"/>
                <w:szCs w:val="20"/>
                <w:lang w:eastAsia="fr-FR"/>
                <w14:ligatures w14:val="none"/>
              </w:rPr>
              <w:t>Disclosure of direct and indirect GHG emissions (e.g. CO₂, CH₄, N₂O) by extractive project or facility, aligned with international disclosure standards.</w:t>
            </w:r>
          </w:p>
        </w:tc>
        <w:tc>
          <w:tcPr>
            <w:tcW w:w="0" w:type="auto"/>
            <w:hideMark/>
          </w:tcPr>
          <w:p w14:paraId="463391D2" w14:textId="1E872130" w:rsidR="006A1A66" w:rsidRPr="006C2719" w:rsidRDefault="00C345D6" w:rsidP="0092022E">
            <w:pPr>
              <w:spacing w:after="40"/>
              <w:rPr>
                <w:rFonts w:ascii="Calibri" w:eastAsia="Times New Roman" w:hAnsi="Calibri" w:cs="Calibri"/>
                <w:color w:val="0D0D0D"/>
                <w:kern w:val="0"/>
                <w:sz w:val="20"/>
                <w:szCs w:val="20"/>
                <w:lang w:eastAsia="fr-FR"/>
                <w14:ligatures w14:val="none"/>
              </w:rPr>
            </w:pPr>
            <w:r w:rsidRPr="006C2719">
              <w:rPr>
                <w:rFonts w:ascii="Calibri" w:eastAsia="Times New Roman" w:hAnsi="Calibri" w:cs="Calibri"/>
                <w:color w:val="0D0D0D"/>
                <w:kern w:val="0"/>
                <w:sz w:val="20"/>
                <w:szCs w:val="20"/>
                <w:lang w:eastAsia="fr-FR"/>
                <w14:ligatures w14:val="none"/>
              </w:rPr>
              <w:t xml:space="preserve">SOEs, IOC, Ministry of </w:t>
            </w:r>
            <w:r w:rsidR="009615E5" w:rsidRPr="006C2719">
              <w:rPr>
                <w:rFonts w:ascii="Calibri" w:eastAsia="Times New Roman" w:hAnsi="Calibri" w:cs="Calibri"/>
                <w:color w:val="0D0D0D"/>
                <w:kern w:val="0"/>
                <w:sz w:val="20"/>
                <w:szCs w:val="20"/>
                <w:lang w:eastAsia="fr-FR"/>
                <w14:ligatures w14:val="none"/>
              </w:rPr>
              <w:t>Environment</w:t>
            </w:r>
          </w:p>
        </w:tc>
        <w:tc>
          <w:tcPr>
            <w:tcW w:w="0" w:type="auto"/>
            <w:hideMark/>
          </w:tcPr>
          <w:p w14:paraId="436DF58A" w14:textId="69E27BE5" w:rsidR="006A1A66" w:rsidRPr="006C2719" w:rsidRDefault="00C345D6" w:rsidP="0092022E">
            <w:pPr>
              <w:spacing w:after="40"/>
              <w:rPr>
                <w:rFonts w:ascii="Calibri" w:eastAsia="Times New Roman" w:hAnsi="Calibri" w:cs="Calibri"/>
                <w:color w:val="0D0D0D"/>
                <w:kern w:val="0"/>
                <w:sz w:val="20"/>
                <w:szCs w:val="20"/>
                <w:lang w:eastAsia="fr-FR"/>
                <w14:ligatures w14:val="none"/>
              </w:rPr>
            </w:pPr>
            <w:r w:rsidRPr="006C2719">
              <w:rPr>
                <w:rFonts w:ascii="Calibri" w:eastAsia="Times New Roman" w:hAnsi="Calibri" w:cs="Calibri"/>
                <w:color w:val="0D0D0D"/>
                <w:kern w:val="0"/>
                <w:sz w:val="20"/>
                <w:szCs w:val="20"/>
                <w:lang w:eastAsia="fr-FR"/>
                <w14:ligatures w14:val="none"/>
              </w:rPr>
              <w:t>By Project</w:t>
            </w:r>
          </w:p>
          <w:p w14:paraId="6C717736" w14:textId="77777777" w:rsidR="006A1A66" w:rsidRPr="006C2719" w:rsidRDefault="006A1A66" w:rsidP="0092022E">
            <w:pPr>
              <w:spacing w:after="40"/>
              <w:rPr>
                <w:rFonts w:ascii="Calibri" w:eastAsia="Times New Roman" w:hAnsi="Calibri" w:cs="Calibri"/>
                <w:color w:val="0D0D0D"/>
                <w:kern w:val="0"/>
                <w:sz w:val="20"/>
                <w:szCs w:val="20"/>
                <w:lang w:eastAsia="fr-FR"/>
                <w14:ligatures w14:val="none"/>
              </w:rPr>
            </w:pPr>
          </w:p>
          <w:p w14:paraId="57F748C7" w14:textId="77777777" w:rsidR="006A1A66" w:rsidRPr="006C2719" w:rsidRDefault="006A1A66" w:rsidP="0092022E">
            <w:pPr>
              <w:spacing w:after="40"/>
              <w:rPr>
                <w:rFonts w:ascii="Calibri" w:eastAsia="Times New Roman" w:hAnsi="Calibri" w:cs="Calibri"/>
                <w:color w:val="0D0D0D"/>
                <w:kern w:val="0"/>
                <w:sz w:val="20"/>
                <w:szCs w:val="20"/>
                <w:lang w:eastAsia="fr-FR"/>
                <w14:ligatures w14:val="none"/>
              </w:rPr>
            </w:pPr>
          </w:p>
        </w:tc>
        <w:tc>
          <w:tcPr>
            <w:tcW w:w="0" w:type="auto"/>
            <w:hideMark/>
          </w:tcPr>
          <w:p w14:paraId="44AFE55E" w14:textId="6F34717C" w:rsidR="006A1A66" w:rsidRPr="006C2719" w:rsidRDefault="00951EF1" w:rsidP="0092022E">
            <w:pPr>
              <w:spacing w:after="40"/>
              <w:rPr>
                <w:rFonts w:ascii="Calibri" w:eastAsia="Times New Roman" w:hAnsi="Calibri" w:cs="Calibri"/>
                <w:color w:val="0D0D0D"/>
                <w:kern w:val="0"/>
                <w:sz w:val="20"/>
                <w:szCs w:val="20"/>
                <w:lang w:eastAsia="fr-FR"/>
                <w14:ligatures w14:val="none"/>
              </w:rPr>
            </w:pPr>
            <w:proofErr w:type="spellStart"/>
            <w:r w:rsidRPr="006C2719">
              <w:rPr>
                <w:rFonts w:ascii="Calibri" w:eastAsia="Times New Roman" w:hAnsi="Calibri" w:cs="Calibri"/>
                <w:color w:val="0D0D0D"/>
                <w:kern w:val="0"/>
                <w:sz w:val="20"/>
                <w:szCs w:val="20"/>
                <w:lang w:eastAsia="fr-FR"/>
                <w14:ligatures w14:val="none"/>
              </w:rPr>
              <w:t>Quatery</w:t>
            </w:r>
            <w:proofErr w:type="spellEnd"/>
            <w:r w:rsidR="006A1A66" w:rsidRPr="006C2719">
              <w:rPr>
                <w:rFonts w:ascii="Calibri" w:eastAsia="Times New Roman" w:hAnsi="Calibri" w:cs="Calibri"/>
                <w:color w:val="0D0D0D"/>
                <w:kern w:val="0"/>
                <w:sz w:val="20"/>
                <w:szCs w:val="20"/>
                <w:lang w:eastAsia="fr-FR"/>
                <w14:ligatures w14:val="none"/>
              </w:rPr>
              <w:t xml:space="preserve"> &amp; Annually</w:t>
            </w:r>
          </w:p>
        </w:tc>
        <w:tc>
          <w:tcPr>
            <w:tcW w:w="0" w:type="auto"/>
            <w:hideMark/>
          </w:tcPr>
          <w:p w14:paraId="2AFF1048" w14:textId="01C7CB94" w:rsidR="006A1A66" w:rsidRPr="006C2719" w:rsidRDefault="009615E5" w:rsidP="009615E5">
            <w:pPr>
              <w:spacing w:after="40"/>
              <w:rPr>
                <w:rFonts w:ascii="Calibri" w:eastAsia="Times New Roman" w:hAnsi="Calibri" w:cs="Calibri"/>
                <w:color w:val="0D0D0D"/>
                <w:kern w:val="0"/>
                <w:sz w:val="20"/>
                <w:szCs w:val="20"/>
                <w:lang w:eastAsia="fr-FR"/>
                <w14:ligatures w14:val="none"/>
              </w:rPr>
            </w:pPr>
            <w:r w:rsidRPr="009615E5">
              <w:rPr>
                <w:rFonts w:ascii="Calibri" w:eastAsia="Times New Roman" w:hAnsi="Calibri" w:cs="Calibri"/>
                <w:b/>
                <w:bCs/>
                <w:color w:val="0D0D0D"/>
                <w:kern w:val="0"/>
                <w:sz w:val="20"/>
                <w:szCs w:val="20"/>
                <w:lang w:eastAsia="fr-FR"/>
                <w14:ligatures w14:val="none"/>
              </w:rPr>
              <w:t>CSV, JSON (Excel optional)</w:t>
            </w:r>
          </w:p>
        </w:tc>
        <w:tc>
          <w:tcPr>
            <w:tcW w:w="0" w:type="auto"/>
            <w:hideMark/>
          </w:tcPr>
          <w:p w14:paraId="1620586D" w14:textId="79A86DB9" w:rsidR="006A1A66" w:rsidRPr="009F50A1" w:rsidRDefault="00C11B2C" w:rsidP="009615E5">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9615E5" w:rsidRPr="009615E5">
              <w:rPr>
                <w:rFonts w:ascii="Calibri" w:eastAsia="Times New Roman" w:hAnsi="Calibri" w:cs="Calibri"/>
                <w:color w:val="0D0D0D"/>
                <w:kern w:val="0"/>
                <w:sz w:val="20"/>
                <w:szCs w:val="20"/>
                <w:lang w:eastAsia="fr-FR"/>
                <w14:ligatures w14:val="none"/>
              </w:rPr>
              <w:t xml:space="preserve"> Iraq portal, Ministry of Environment website</w:t>
            </w:r>
          </w:p>
        </w:tc>
      </w:tr>
    </w:tbl>
    <w:p w14:paraId="7FC07BF0" w14:textId="30B541CA" w:rsidR="0038251E" w:rsidRPr="00E519A6" w:rsidRDefault="00E519A6" w:rsidP="00E519A6">
      <w:pPr>
        <w:pStyle w:val="Heading4"/>
        <w:spacing w:before="120" w:after="120"/>
        <w:rPr>
          <w:rFonts w:ascii="Kohinoor Devanagari" w:hAnsi="Kohinoor Devanagari" w:cs="Kohinoor Devanagari"/>
          <w:b/>
          <w:bCs/>
          <w:sz w:val="22"/>
          <w:szCs w:val="22"/>
        </w:rPr>
      </w:pPr>
      <w:r>
        <w:rPr>
          <w:rFonts w:ascii="Kohinoor Devanagari" w:hAnsi="Kohinoor Devanagari" w:cs="Kohinoor Devanagari"/>
          <w:b/>
          <w:bCs/>
          <w:sz w:val="22"/>
          <w:szCs w:val="22"/>
        </w:rPr>
        <w:t>Module 7</w:t>
      </w:r>
      <w:r w:rsidR="00413129">
        <w:rPr>
          <w:rFonts w:ascii="Kohinoor Devanagari" w:hAnsi="Kohinoor Devanagari" w:cs="Kohinoor Devanagari"/>
          <w:b/>
          <w:bCs/>
          <w:sz w:val="22"/>
          <w:szCs w:val="22"/>
        </w:rPr>
        <w:t>: Revenue collection</w:t>
      </w:r>
    </w:p>
    <w:p w14:paraId="56B14F1B" w14:textId="648C0F45" w:rsidR="006D15D9" w:rsidRPr="0031336F" w:rsidRDefault="005F017B" w:rsidP="006D15D9">
      <w:pPr>
        <w:pStyle w:val="Heading4"/>
        <w:spacing w:before="120" w:after="120"/>
        <w:rPr>
          <w:rFonts w:ascii="Kohinoor Devanagari" w:hAnsi="Kohinoor Devanagari" w:cs="Kohinoor Devanagari"/>
          <w:b/>
          <w:bCs/>
          <w:sz w:val="22"/>
          <w:szCs w:val="22"/>
        </w:rPr>
      </w:pPr>
      <w:r>
        <w:rPr>
          <w:rFonts w:ascii="Kohinoor Devanagari" w:hAnsi="Kohinoor Devanagari" w:cs="Kohinoor Devanagari"/>
          <w:b/>
          <w:bCs/>
          <w:sz w:val="22"/>
          <w:szCs w:val="22"/>
        </w:rPr>
        <w:t xml:space="preserve">7.1. </w:t>
      </w:r>
      <w:r w:rsidR="006D15D9" w:rsidRPr="0031336F">
        <w:rPr>
          <w:rFonts w:ascii="Kohinoor Devanagari" w:hAnsi="Kohinoor Devanagari" w:cs="Kohinoor Devanagari"/>
          <w:b/>
          <w:bCs/>
          <w:sz w:val="22"/>
          <w:szCs w:val="22"/>
        </w:rPr>
        <w:t>Comprehensive Disclosure of Taxes and Revenues (Requirement 4.1)</w:t>
      </w:r>
    </w:p>
    <w:p w14:paraId="6B349127" w14:textId="77777777" w:rsidR="006D15D9" w:rsidRPr="0031336F" w:rsidRDefault="006D15D9" w:rsidP="006D15D9">
      <w:pPr>
        <w:rPr>
          <w:rFonts w:ascii="Kohinoor Devanagari" w:eastAsia="Times New Roman" w:hAnsi="Kohinoor Devanagari" w:cs="Kohinoor Devanagari"/>
          <w:b/>
          <w:bCs/>
          <w:color w:val="0D0D0D"/>
          <w:kern w:val="0"/>
          <w:sz w:val="22"/>
          <w:szCs w:val="22"/>
          <w:lang w:eastAsia="fr-FR"/>
          <w14:ligatures w14:val="none"/>
        </w:rPr>
      </w:pPr>
      <w:r w:rsidRPr="0031336F">
        <w:rPr>
          <w:rFonts w:ascii="Kohinoor Devanagari" w:eastAsia="Times New Roman" w:hAnsi="Kohinoor Devanagari" w:cs="Kohinoor Devanagari"/>
          <w:b/>
          <w:bCs/>
          <w:color w:val="0D0D0D"/>
          <w:kern w:val="0"/>
          <w:sz w:val="22"/>
          <w:szCs w:val="22"/>
          <w:lang w:eastAsia="fr-FR"/>
          <w14:ligatures w14:val="none"/>
        </w:rPr>
        <w:t>Objective</w:t>
      </w:r>
    </w:p>
    <w:p w14:paraId="5AB176E8" w14:textId="77777777" w:rsidR="006D15D9" w:rsidRPr="0031336F" w:rsidRDefault="006D15D9" w:rsidP="002D3CD8">
      <w:p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31336F">
        <w:rPr>
          <w:rFonts w:ascii="Kohinoor Devanagari" w:eastAsia="Times New Roman" w:hAnsi="Kohinoor Devanagari" w:cs="Kohinoor Devanagari"/>
          <w:color w:val="0D0D0D"/>
          <w:kern w:val="0"/>
          <w:sz w:val="22"/>
          <w:szCs w:val="22"/>
          <w:lang w:eastAsia="fr-FR"/>
          <w14:ligatures w14:val="none"/>
        </w:rPr>
        <w:t>This section ensures systematic disclosure of all material revenue flows between extractive companies and the Iraqi government, allowing for:</w:t>
      </w:r>
    </w:p>
    <w:p w14:paraId="652B984B" w14:textId="77777777" w:rsidR="006D15D9" w:rsidRPr="0031336F" w:rsidRDefault="006D15D9" w:rsidP="00FD2B68">
      <w:pPr>
        <w:numPr>
          <w:ilvl w:val="0"/>
          <w:numId w:val="62"/>
        </w:num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31336F">
        <w:rPr>
          <w:rFonts w:ascii="Kohinoor Devanagari" w:eastAsia="Times New Roman" w:hAnsi="Kohinoor Devanagari" w:cs="Kohinoor Devanagari"/>
          <w:color w:val="0D0D0D"/>
          <w:kern w:val="0"/>
          <w:sz w:val="22"/>
          <w:szCs w:val="22"/>
          <w:lang w:eastAsia="fr-FR"/>
          <w14:ligatures w14:val="none"/>
        </w:rPr>
        <w:t>Public understanding of oil, gas, and mining revenues collected by the government.</w:t>
      </w:r>
    </w:p>
    <w:p w14:paraId="547E524E" w14:textId="77777777" w:rsidR="006D15D9" w:rsidRPr="0031336F" w:rsidRDefault="006D15D9" w:rsidP="00FD2B68">
      <w:pPr>
        <w:numPr>
          <w:ilvl w:val="0"/>
          <w:numId w:val="62"/>
        </w:num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31336F">
        <w:rPr>
          <w:rFonts w:ascii="Kohinoor Devanagari" w:eastAsia="Times New Roman" w:hAnsi="Kohinoor Devanagari" w:cs="Kohinoor Devanagari"/>
          <w:color w:val="0D0D0D"/>
          <w:kern w:val="0"/>
          <w:sz w:val="22"/>
          <w:szCs w:val="22"/>
          <w:lang w:eastAsia="fr-FR"/>
          <w14:ligatures w14:val="none"/>
        </w:rPr>
        <w:t>Transparency in cost recovery and remuneration fees paid to IOCs under Iraq’s service contracts.</w:t>
      </w:r>
    </w:p>
    <w:p w14:paraId="0D286B1B" w14:textId="77777777" w:rsidR="006D15D9" w:rsidRDefault="006D15D9" w:rsidP="00FD2B68">
      <w:pPr>
        <w:numPr>
          <w:ilvl w:val="0"/>
          <w:numId w:val="62"/>
        </w:num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31336F">
        <w:rPr>
          <w:rFonts w:ascii="Kohinoor Devanagari" w:eastAsia="Times New Roman" w:hAnsi="Kohinoor Devanagari" w:cs="Kohinoor Devanagari"/>
          <w:color w:val="0D0D0D"/>
          <w:kern w:val="0"/>
          <w:sz w:val="22"/>
          <w:szCs w:val="22"/>
          <w:lang w:eastAsia="fr-FR"/>
          <w14:ligatures w14:val="none"/>
        </w:rPr>
        <w:t>Integration of revenue data into routine government reporting systems.</w:t>
      </w:r>
    </w:p>
    <w:p w14:paraId="622B2C5F" w14:textId="249FEDBD" w:rsidR="00F540A4" w:rsidRPr="0031336F" w:rsidRDefault="00F540A4" w:rsidP="00C52386">
      <w:pPr>
        <w:spacing w:before="120" w:after="120" w:line="240" w:lineRule="auto"/>
        <w:jc w:val="both"/>
        <w:rPr>
          <w:rFonts w:ascii="Kohinoor Devanagari" w:eastAsia="Times New Roman" w:hAnsi="Kohinoor Devanagari" w:cs="Kohinoor Devanagari"/>
          <w:color w:val="0D0D0D"/>
          <w:kern w:val="0"/>
          <w:sz w:val="22"/>
          <w:szCs w:val="22"/>
          <w:lang w:eastAsia="fr-FR"/>
          <w14:ligatures w14:val="none"/>
        </w:rPr>
      </w:pPr>
      <w:r w:rsidRPr="00F540A4">
        <w:rPr>
          <w:rFonts w:ascii="Kohinoor Devanagari" w:eastAsia="Times New Roman" w:hAnsi="Kohinoor Devanagari" w:cs="Kohinoor Devanagari"/>
          <w:color w:val="0D0D0D"/>
          <w:kern w:val="0"/>
          <w:sz w:val="22"/>
          <w:szCs w:val="22"/>
          <w:lang w:eastAsia="fr-FR"/>
          <w14:ligatures w14:val="none"/>
        </w:rPr>
        <w:t xml:space="preserve">Disclosures must be timely, disaggregated, and published using </w:t>
      </w:r>
      <w:r w:rsidRPr="00F540A4">
        <w:rPr>
          <w:rFonts w:ascii="Kohinoor Devanagari" w:eastAsia="Times New Roman" w:hAnsi="Kohinoor Devanagari" w:cs="Kohinoor Devanagari"/>
          <w:b/>
          <w:bCs/>
          <w:color w:val="0D0D0D"/>
          <w:kern w:val="0"/>
          <w:sz w:val="22"/>
          <w:szCs w:val="22"/>
          <w:lang w:eastAsia="fr-FR"/>
          <w14:ligatures w14:val="none"/>
        </w:rPr>
        <w:t>open, machine-readable formats</w:t>
      </w:r>
      <w:r w:rsidRPr="00F540A4">
        <w:rPr>
          <w:rFonts w:ascii="Kohinoor Devanagari" w:eastAsia="Times New Roman" w:hAnsi="Kohinoor Devanagari" w:cs="Kohinoor Devanagari"/>
          <w:color w:val="0D0D0D"/>
          <w:kern w:val="0"/>
          <w:sz w:val="22"/>
          <w:szCs w:val="22"/>
          <w:lang w:eastAsia="fr-FR"/>
          <w14:ligatures w14:val="none"/>
        </w:rPr>
        <w:t xml:space="preserve">. They should be accompanied by adequate quality assurance measures, in line with </w:t>
      </w:r>
      <w:r w:rsidRPr="00F540A4">
        <w:rPr>
          <w:rFonts w:ascii="Kohinoor Devanagari" w:eastAsia="Times New Roman" w:hAnsi="Kohinoor Devanagari" w:cs="Kohinoor Devanagari"/>
          <w:b/>
          <w:bCs/>
          <w:color w:val="0D0D0D"/>
          <w:kern w:val="0"/>
          <w:sz w:val="22"/>
          <w:szCs w:val="22"/>
          <w:lang w:eastAsia="fr-FR"/>
          <w14:ligatures w14:val="none"/>
        </w:rPr>
        <w:t>Requirement 4.9</w:t>
      </w:r>
      <w:r w:rsidRPr="00F540A4">
        <w:rPr>
          <w:rFonts w:ascii="Kohinoor Devanagari" w:eastAsia="Times New Roman" w:hAnsi="Kohinoor Devanagari" w:cs="Kohinoor Devanagari"/>
          <w:color w:val="0D0D0D"/>
          <w:kern w:val="0"/>
          <w:sz w:val="22"/>
          <w:szCs w:val="22"/>
          <w:lang w:eastAsia="fr-FR"/>
          <w14:ligatures w14:val="none"/>
        </w:rPr>
        <w:t xml:space="preserve"> of the EITI Standard.</w:t>
      </w:r>
    </w:p>
    <w:p w14:paraId="62A1AC72" w14:textId="39A4EF31" w:rsidR="006D15D9" w:rsidRPr="009F50A1" w:rsidRDefault="006D15D9" w:rsidP="006D15D9">
      <w:pPr>
        <w:rPr>
          <w:rFonts w:ascii="Kohinoor Devanagari" w:eastAsia="Times New Roman" w:hAnsi="Kohinoor Devanagari" w:cs="Kohinoor Devanagari"/>
          <w:b/>
          <w:bCs/>
          <w:color w:val="0D0D0D"/>
          <w:kern w:val="0"/>
          <w:sz w:val="22"/>
          <w:szCs w:val="22"/>
          <w:lang w:eastAsia="fr-FR"/>
          <w14:ligatures w14:val="none"/>
        </w:rPr>
      </w:pPr>
      <w:r w:rsidRPr="009F50A1">
        <w:rPr>
          <w:rFonts w:ascii="Kohinoor Devanagari" w:eastAsia="Times New Roman" w:hAnsi="Kohinoor Devanagari" w:cs="Kohinoor Devanagari"/>
          <w:b/>
          <w:bCs/>
          <w:color w:val="0D0D0D"/>
          <w:kern w:val="0"/>
          <w:sz w:val="22"/>
          <w:szCs w:val="22"/>
          <w:lang w:eastAsia="fr-FR"/>
          <w14:ligatures w14:val="none"/>
        </w:rPr>
        <w:t>Data Disclosure Requirements</w:t>
      </w:r>
    </w:p>
    <w:tbl>
      <w:tblPr>
        <w:tblStyle w:val="TableGrid"/>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472"/>
        <w:gridCol w:w="1631"/>
        <w:gridCol w:w="1427"/>
        <w:gridCol w:w="1501"/>
        <w:gridCol w:w="1100"/>
        <w:gridCol w:w="987"/>
        <w:gridCol w:w="1220"/>
      </w:tblGrid>
      <w:tr w:rsidR="00D67AA9" w:rsidRPr="00D67AA9" w14:paraId="3F001603" w14:textId="77777777" w:rsidTr="00D67AA9">
        <w:trPr>
          <w:tblHeader/>
        </w:trPr>
        <w:tc>
          <w:tcPr>
            <w:tcW w:w="0" w:type="auto"/>
            <w:shd w:val="clear" w:color="auto" w:fill="748A96"/>
            <w:hideMark/>
          </w:tcPr>
          <w:p w14:paraId="6F616FBF" w14:textId="77777777" w:rsidR="006D15D9" w:rsidRPr="00C52386" w:rsidRDefault="006D15D9"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Data Type</w:t>
            </w:r>
          </w:p>
        </w:tc>
        <w:tc>
          <w:tcPr>
            <w:tcW w:w="0" w:type="auto"/>
            <w:shd w:val="clear" w:color="auto" w:fill="748A96"/>
            <w:hideMark/>
          </w:tcPr>
          <w:p w14:paraId="0808E688" w14:textId="77777777" w:rsidR="006D15D9" w:rsidRPr="00C52386" w:rsidRDefault="006D15D9"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Description</w:t>
            </w:r>
          </w:p>
        </w:tc>
        <w:tc>
          <w:tcPr>
            <w:tcW w:w="0" w:type="auto"/>
            <w:shd w:val="clear" w:color="auto" w:fill="748A96"/>
            <w:hideMark/>
          </w:tcPr>
          <w:p w14:paraId="5880917F" w14:textId="77777777" w:rsidR="006D15D9" w:rsidRPr="00C52386" w:rsidRDefault="006D15D9"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Responsible Entities</w:t>
            </w:r>
          </w:p>
        </w:tc>
        <w:tc>
          <w:tcPr>
            <w:tcW w:w="0" w:type="auto"/>
            <w:shd w:val="clear" w:color="auto" w:fill="748A96"/>
            <w:hideMark/>
          </w:tcPr>
          <w:p w14:paraId="575AA7C7" w14:textId="77777777" w:rsidR="006D15D9" w:rsidRPr="00C52386" w:rsidRDefault="006D15D9"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Disaggregation</w:t>
            </w:r>
          </w:p>
        </w:tc>
        <w:tc>
          <w:tcPr>
            <w:tcW w:w="0" w:type="auto"/>
            <w:shd w:val="clear" w:color="auto" w:fill="748A96"/>
            <w:hideMark/>
          </w:tcPr>
          <w:p w14:paraId="4BE353AF" w14:textId="77777777" w:rsidR="006D15D9" w:rsidRPr="00C52386" w:rsidRDefault="006D15D9"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Frequency</w:t>
            </w:r>
          </w:p>
        </w:tc>
        <w:tc>
          <w:tcPr>
            <w:tcW w:w="0" w:type="auto"/>
            <w:shd w:val="clear" w:color="auto" w:fill="748A96"/>
            <w:hideMark/>
          </w:tcPr>
          <w:p w14:paraId="6B0E4AF8" w14:textId="77777777" w:rsidR="006D15D9" w:rsidRPr="00C52386" w:rsidRDefault="006D15D9"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Format</w:t>
            </w:r>
          </w:p>
        </w:tc>
        <w:tc>
          <w:tcPr>
            <w:tcW w:w="0" w:type="auto"/>
            <w:shd w:val="clear" w:color="auto" w:fill="748A96"/>
            <w:hideMark/>
          </w:tcPr>
          <w:p w14:paraId="1E5F099A" w14:textId="77777777" w:rsidR="006D15D9" w:rsidRPr="00C52386" w:rsidRDefault="006D15D9"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Publication Channels</w:t>
            </w:r>
          </w:p>
        </w:tc>
      </w:tr>
      <w:tr w:rsidR="006D15D9" w:rsidRPr="009F50A1" w14:paraId="112CBEF4" w14:textId="77777777" w:rsidTr="006C21F9">
        <w:tc>
          <w:tcPr>
            <w:tcW w:w="0" w:type="auto"/>
            <w:hideMark/>
          </w:tcPr>
          <w:p w14:paraId="01594C5B"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Government Revenues from Oil &amp; Gas &amp; mining</w:t>
            </w:r>
          </w:p>
        </w:tc>
        <w:tc>
          <w:tcPr>
            <w:tcW w:w="0" w:type="auto"/>
            <w:hideMark/>
          </w:tcPr>
          <w:p w14:paraId="59D2FBAD"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Disclosure of all revenues from extractive companies and Crude Oil Exports according to the defined scope.</w:t>
            </w:r>
          </w:p>
        </w:tc>
        <w:tc>
          <w:tcPr>
            <w:tcW w:w="0" w:type="auto"/>
            <w:hideMark/>
          </w:tcPr>
          <w:p w14:paraId="0E0DF3AB"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General Commission of Taxes (GCT), Ministry of Finance, Ministry of Oil, SOMO, Ministry of Natural Resources (KRG)</w:t>
            </w:r>
          </w:p>
        </w:tc>
        <w:tc>
          <w:tcPr>
            <w:tcW w:w="0" w:type="auto"/>
            <w:hideMark/>
          </w:tcPr>
          <w:p w14:paraId="4849A191"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By revenue stream, recipient agency</w:t>
            </w:r>
          </w:p>
        </w:tc>
        <w:tc>
          <w:tcPr>
            <w:tcW w:w="0" w:type="auto"/>
            <w:hideMark/>
          </w:tcPr>
          <w:p w14:paraId="4BC8053A"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Monthly &amp; Annually</w:t>
            </w:r>
          </w:p>
        </w:tc>
        <w:tc>
          <w:tcPr>
            <w:tcW w:w="0" w:type="auto"/>
            <w:hideMark/>
          </w:tcPr>
          <w:p w14:paraId="0B38EB73" w14:textId="13B3518F" w:rsidR="006D15D9" w:rsidRPr="009F50A1" w:rsidRDefault="00BB2C13" w:rsidP="00BB2C13">
            <w:pPr>
              <w:spacing w:after="40"/>
              <w:rPr>
                <w:rFonts w:ascii="Calibri" w:eastAsia="Times New Roman" w:hAnsi="Calibri" w:cs="Calibri"/>
                <w:color w:val="0D0D0D"/>
                <w:kern w:val="0"/>
                <w:sz w:val="20"/>
                <w:szCs w:val="20"/>
                <w:lang w:eastAsia="fr-FR"/>
                <w14:ligatures w14:val="none"/>
              </w:rPr>
            </w:pPr>
            <w:r w:rsidRPr="00BB2C13">
              <w:rPr>
                <w:rFonts w:ascii="Calibri" w:eastAsia="Times New Roman" w:hAnsi="Calibri" w:cs="Calibri"/>
                <w:b/>
                <w:bCs/>
                <w:color w:val="0D0D0D"/>
                <w:kern w:val="0"/>
                <w:sz w:val="20"/>
                <w:szCs w:val="20"/>
                <w:lang w:eastAsia="fr-FR"/>
                <w14:ligatures w14:val="none"/>
              </w:rPr>
              <w:t>CSV, HTML</w:t>
            </w:r>
            <w:r w:rsidRPr="00BB2C13">
              <w:rPr>
                <w:rFonts w:ascii="Calibri" w:eastAsia="Times New Roman" w:hAnsi="Calibri" w:cs="Calibri"/>
                <w:color w:val="0D0D0D"/>
                <w:kern w:val="0"/>
                <w:sz w:val="20"/>
                <w:szCs w:val="20"/>
                <w:lang w:eastAsia="fr-FR"/>
                <w14:ligatures w14:val="none"/>
              </w:rPr>
              <w:t xml:space="preserve"> (PDF optional)</w:t>
            </w:r>
          </w:p>
        </w:tc>
        <w:tc>
          <w:tcPr>
            <w:tcW w:w="0" w:type="auto"/>
            <w:hideMark/>
          </w:tcPr>
          <w:p w14:paraId="21AD51ED" w14:textId="72810BF6" w:rsidR="006D15D9" w:rsidRPr="009F50A1" w:rsidRDefault="00C11B2C" w:rsidP="00120990">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6D15D9" w:rsidRPr="009F50A1">
              <w:rPr>
                <w:rFonts w:ascii="Calibri" w:eastAsia="Times New Roman" w:hAnsi="Calibri" w:cs="Calibri"/>
                <w:color w:val="0D0D0D"/>
                <w:kern w:val="0"/>
                <w:sz w:val="20"/>
                <w:szCs w:val="20"/>
                <w:lang w:eastAsia="fr-FR"/>
                <w14:ligatures w14:val="none"/>
              </w:rPr>
              <w:t xml:space="preserve"> Iraq portal, Ministry of Finance website</w:t>
            </w:r>
          </w:p>
        </w:tc>
      </w:tr>
      <w:tr w:rsidR="00120990" w:rsidRPr="009F50A1" w14:paraId="3237889F" w14:textId="77777777" w:rsidTr="006C21F9">
        <w:tc>
          <w:tcPr>
            <w:tcW w:w="0" w:type="auto"/>
            <w:hideMark/>
          </w:tcPr>
          <w:p w14:paraId="7CA63F8C"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Company Payments to Government</w:t>
            </w:r>
          </w:p>
        </w:tc>
        <w:tc>
          <w:tcPr>
            <w:tcW w:w="0" w:type="auto"/>
            <w:hideMark/>
          </w:tcPr>
          <w:p w14:paraId="10E0E4CF"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All material tax, royalty, and fee payments from extractive companies according to the defined scope</w:t>
            </w:r>
          </w:p>
        </w:tc>
        <w:tc>
          <w:tcPr>
            <w:tcW w:w="0" w:type="auto"/>
            <w:hideMark/>
          </w:tcPr>
          <w:p w14:paraId="1EB691EC" w14:textId="4B854FB1"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Extractive Companies (IOCs, SOEs)</w:t>
            </w:r>
          </w:p>
        </w:tc>
        <w:tc>
          <w:tcPr>
            <w:tcW w:w="0" w:type="auto"/>
            <w:hideMark/>
          </w:tcPr>
          <w:p w14:paraId="5D08D177"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By company, payment type</w:t>
            </w:r>
          </w:p>
        </w:tc>
        <w:tc>
          <w:tcPr>
            <w:tcW w:w="0" w:type="auto"/>
            <w:hideMark/>
          </w:tcPr>
          <w:p w14:paraId="3658AE0E"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Annually</w:t>
            </w:r>
          </w:p>
        </w:tc>
        <w:tc>
          <w:tcPr>
            <w:tcW w:w="0" w:type="auto"/>
            <w:hideMark/>
          </w:tcPr>
          <w:p w14:paraId="031A112D" w14:textId="614C98FD" w:rsidR="006D15D9" w:rsidRPr="009F50A1" w:rsidRDefault="00BB2C13" w:rsidP="00BB2C13">
            <w:pPr>
              <w:spacing w:after="40"/>
              <w:rPr>
                <w:rFonts w:ascii="Calibri" w:eastAsia="Times New Roman" w:hAnsi="Calibri" w:cs="Calibri"/>
                <w:color w:val="0D0D0D"/>
                <w:kern w:val="0"/>
                <w:sz w:val="20"/>
                <w:szCs w:val="20"/>
                <w:lang w:eastAsia="fr-FR"/>
                <w14:ligatures w14:val="none"/>
              </w:rPr>
            </w:pPr>
            <w:r w:rsidRPr="00BB2C13">
              <w:rPr>
                <w:rFonts w:ascii="Calibri" w:eastAsia="Times New Roman" w:hAnsi="Calibri" w:cs="Calibri"/>
                <w:color w:val="0D0D0D"/>
                <w:kern w:val="0"/>
                <w:sz w:val="20"/>
                <w:szCs w:val="20"/>
                <w:lang w:eastAsia="fr-FR"/>
                <w14:ligatures w14:val="none"/>
              </w:rPr>
              <w:t>CSV, HTML</w:t>
            </w:r>
          </w:p>
        </w:tc>
        <w:tc>
          <w:tcPr>
            <w:tcW w:w="0" w:type="auto"/>
            <w:hideMark/>
          </w:tcPr>
          <w:p w14:paraId="1A11A6C5" w14:textId="4358A9BE" w:rsidR="006D15D9" w:rsidRPr="009F50A1" w:rsidRDefault="00C11B2C" w:rsidP="00120990">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6D15D9" w:rsidRPr="009F50A1">
              <w:rPr>
                <w:rFonts w:ascii="Calibri" w:eastAsia="Times New Roman" w:hAnsi="Calibri" w:cs="Calibri"/>
                <w:color w:val="0D0D0D"/>
                <w:kern w:val="0"/>
                <w:sz w:val="20"/>
                <w:szCs w:val="20"/>
                <w:lang w:eastAsia="fr-FR"/>
                <w14:ligatures w14:val="none"/>
              </w:rPr>
              <w:t xml:space="preserve"> Iraq portal</w:t>
            </w:r>
          </w:p>
        </w:tc>
      </w:tr>
      <w:tr w:rsidR="006D15D9" w:rsidRPr="009F50A1" w14:paraId="2826337E" w14:textId="77777777" w:rsidTr="006C21F9">
        <w:tc>
          <w:tcPr>
            <w:tcW w:w="0" w:type="auto"/>
            <w:hideMark/>
          </w:tcPr>
          <w:p w14:paraId="1780F6F5"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Oil &amp; Gas Sales Proceeds</w:t>
            </w:r>
          </w:p>
        </w:tc>
        <w:tc>
          <w:tcPr>
            <w:tcW w:w="0" w:type="auto"/>
            <w:hideMark/>
          </w:tcPr>
          <w:p w14:paraId="498EDB83"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Breakdown of SOMO’s oil sales revenues and amounts transferred to the Treasury.</w:t>
            </w:r>
          </w:p>
        </w:tc>
        <w:tc>
          <w:tcPr>
            <w:tcW w:w="0" w:type="auto"/>
            <w:hideMark/>
          </w:tcPr>
          <w:p w14:paraId="08880783"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SOMO, Central Bank of Iraq</w:t>
            </w:r>
          </w:p>
        </w:tc>
        <w:tc>
          <w:tcPr>
            <w:tcW w:w="0" w:type="auto"/>
            <w:hideMark/>
          </w:tcPr>
          <w:p w14:paraId="6594D4AD"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By buyer, transaction</w:t>
            </w:r>
          </w:p>
        </w:tc>
        <w:tc>
          <w:tcPr>
            <w:tcW w:w="0" w:type="auto"/>
            <w:hideMark/>
          </w:tcPr>
          <w:p w14:paraId="19AFD182"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Monthly &amp; Annually</w:t>
            </w:r>
          </w:p>
        </w:tc>
        <w:tc>
          <w:tcPr>
            <w:tcW w:w="0" w:type="auto"/>
            <w:hideMark/>
          </w:tcPr>
          <w:p w14:paraId="090527D8"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CSV, JSON</w:t>
            </w:r>
          </w:p>
        </w:tc>
        <w:tc>
          <w:tcPr>
            <w:tcW w:w="0" w:type="auto"/>
            <w:hideMark/>
          </w:tcPr>
          <w:p w14:paraId="25D6451D" w14:textId="2D23B34B"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 xml:space="preserve">SOMO website, </w:t>
            </w:r>
            <w:r w:rsidR="00C11B2C">
              <w:rPr>
                <w:rFonts w:ascii="Calibri" w:eastAsia="Times New Roman" w:hAnsi="Calibri" w:cs="Calibri"/>
                <w:color w:val="0D0D0D"/>
                <w:kern w:val="0"/>
                <w:sz w:val="20"/>
                <w:szCs w:val="20"/>
                <w:lang w:eastAsia="fr-FR"/>
                <w14:ligatures w14:val="none"/>
              </w:rPr>
              <w:t>NR</w:t>
            </w:r>
            <w:r w:rsidR="00CC70F8">
              <w:rPr>
                <w:rFonts w:ascii="Calibri" w:eastAsia="Times New Roman" w:hAnsi="Calibri" w:cs="Calibri"/>
                <w:color w:val="0D0D0D"/>
                <w:kern w:val="0"/>
                <w:sz w:val="20"/>
                <w:szCs w:val="20"/>
                <w:lang w:eastAsia="fr-FR"/>
                <w14:ligatures w14:val="none"/>
              </w:rPr>
              <w:t>TC</w:t>
            </w:r>
            <w:r w:rsidRPr="009F50A1">
              <w:rPr>
                <w:rFonts w:ascii="Calibri" w:eastAsia="Times New Roman" w:hAnsi="Calibri" w:cs="Calibri"/>
                <w:color w:val="0D0D0D"/>
                <w:kern w:val="0"/>
                <w:sz w:val="20"/>
                <w:szCs w:val="20"/>
                <w:lang w:eastAsia="fr-FR"/>
                <w14:ligatures w14:val="none"/>
              </w:rPr>
              <w:t xml:space="preserve"> Iraq portal</w:t>
            </w:r>
          </w:p>
        </w:tc>
      </w:tr>
      <w:tr w:rsidR="006D15D9" w:rsidRPr="009F50A1" w14:paraId="32F2AA71" w14:textId="77777777" w:rsidTr="006C21F9">
        <w:tc>
          <w:tcPr>
            <w:tcW w:w="0" w:type="auto"/>
            <w:hideMark/>
          </w:tcPr>
          <w:p w14:paraId="5C9226F6"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Cost Recovery &amp; Remuneration Fees</w:t>
            </w:r>
          </w:p>
        </w:tc>
        <w:tc>
          <w:tcPr>
            <w:tcW w:w="0" w:type="auto"/>
            <w:hideMark/>
          </w:tcPr>
          <w:p w14:paraId="6DEDA26D"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Disclosure of government payments to IOCs under service contracts, including in-kind crude oil payments.</w:t>
            </w:r>
          </w:p>
        </w:tc>
        <w:tc>
          <w:tcPr>
            <w:tcW w:w="0" w:type="auto"/>
            <w:hideMark/>
          </w:tcPr>
          <w:p w14:paraId="507D217D"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Ministry of Oil, SOEs</w:t>
            </w:r>
          </w:p>
        </w:tc>
        <w:tc>
          <w:tcPr>
            <w:tcW w:w="0" w:type="auto"/>
            <w:hideMark/>
          </w:tcPr>
          <w:p w14:paraId="6B7A95D8"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By company, project</w:t>
            </w:r>
          </w:p>
        </w:tc>
        <w:tc>
          <w:tcPr>
            <w:tcW w:w="0" w:type="auto"/>
            <w:hideMark/>
          </w:tcPr>
          <w:p w14:paraId="58D36CB7"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Monthly &amp; Annually</w:t>
            </w:r>
          </w:p>
        </w:tc>
        <w:tc>
          <w:tcPr>
            <w:tcW w:w="0" w:type="auto"/>
            <w:hideMark/>
          </w:tcPr>
          <w:p w14:paraId="41FE7C07" w14:textId="52960B09" w:rsidR="006D15D9" w:rsidRPr="009F50A1" w:rsidRDefault="00BB2C13" w:rsidP="00120990">
            <w:pPr>
              <w:spacing w:after="40"/>
              <w:rPr>
                <w:rFonts w:ascii="Calibri" w:eastAsia="Times New Roman" w:hAnsi="Calibri" w:cs="Calibri"/>
                <w:color w:val="0D0D0D"/>
                <w:kern w:val="0"/>
                <w:sz w:val="20"/>
                <w:szCs w:val="20"/>
                <w:lang w:eastAsia="fr-FR"/>
                <w14:ligatures w14:val="none"/>
              </w:rPr>
            </w:pPr>
            <w:r w:rsidRPr="00BB2C13">
              <w:rPr>
                <w:rFonts w:ascii="Calibri" w:eastAsia="Times New Roman" w:hAnsi="Calibri" w:cs="Calibri"/>
                <w:color w:val="0D0D0D"/>
                <w:kern w:val="0"/>
                <w:sz w:val="20"/>
                <w:szCs w:val="20"/>
                <w:lang w:eastAsia="fr-FR"/>
                <w14:ligatures w14:val="none"/>
              </w:rPr>
              <w:t>CSV, HTML</w:t>
            </w:r>
          </w:p>
        </w:tc>
        <w:tc>
          <w:tcPr>
            <w:tcW w:w="0" w:type="auto"/>
            <w:hideMark/>
          </w:tcPr>
          <w:p w14:paraId="5AE8E053" w14:textId="24BB6369" w:rsidR="006D15D9" w:rsidRPr="009F50A1" w:rsidRDefault="00CC70F8" w:rsidP="00120990">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6D15D9" w:rsidRPr="009F50A1">
              <w:rPr>
                <w:rFonts w:ascii="Calibri" w:eastAsia="Times New Roman" w:hAnsi="Calibri" w:cs="Calibri"/>
                <w:color w:val="0D0D0D"/>
                <w:kern w:val="0"/>
                <w:sz w:val="20"/>
                <w:szCs w:val="20"/>
                <w:lang w:eastAsia="fr-FR"/>
                <w14:ligatures w14:val="none"/>
              </w:rPr>
              <w:t xml:space="preserve"> Iraq portal</w:t>
            </w:r>
            <w:r w:rsidR="00B163BF">
              <w:rPr>
                <w:rFonts w:ascii="Calibri" w:eastAsia="Times New Roman" w:hAnsi="Calibri" w:cs="Calibri"/>
                <w:color w:val="0D0D0D"/>
                <w:kern w:val="0"/>
                <w:sz w:val="20"/>
                <w:szCs w:val="20"/>
                <w:lang w:eastAsia="fr-FR"/>
                <w14:ligatures w14:val="none"/>
              </w:rPr>
              <w:t>, MoM website</w:t>
            </w:r>
          </w:p>
        </w:tc>
      </w:tr>
      <w:tr w:rsidR="006D15D9" w:rsidRPr="009F50A1" w14:paraId="64081C34" w14:textId="77777777" w:rsidTr="006C21F9">
        <w:tc>
          <w:tcPr>
            <w:tcW w:w="0" w:type="auto"/>
            <w:hideMark/>
          </w:tcPr>
          <w:p w14:paraId="2281862C"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Demurrage Costs &amp; Oil Sales Penalties</w:t>
            </w:r>
          </w:p>
        </w:tc>
        <w:tc>
          <w:tcPr>
            <w:tcW w:w="0" w:type="auto"/>
            <w:hideMark/>
          </w:tcPr>
          <w:p w14:paraId="5E0506A5"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Fees paid by Iraq for oil shipment delays and breaches of sales contracts.</w:t>
            </w:r>
          </w:p>
        </w:tc>
        <w:tc>
          <w:tcPr>
            <w:tcW w:w="0" w:type="auto"/>
            <w:hideMark/>
          </w:tcPr>
          <w:p w14:paraId="01DCDEC8"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SOMO, Ministry of Oil</w:t>
            </w:r>
          </w:p>
        </w:tc>
        <w:tc>
          <w:tcPr>
            <w:tcW w:w="0" w:type="auto"/>
            <w:hideMark/>
          </w:tcPr>
          <w:p w14:paraId="115B5548"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By transaction, buyer</w:t>
            </w:r>
          </w:p>
        </w:tc>
        <w:tc>
          <w:tcPr>
            <w:tcW w:w="0" w:type="auto"/>
            <w:hideMark/>
          </w:tcPr>
          <w:p w14:paraId="77E36E97"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Annually</w:t>
            </w:r>
          </w:p>
        </w:tc>
        <w:tc>
          <w:tcPr>
            <w:tcW w:w="0" w:type="auto"/>
            <w:hideMark/>
          </w:tcPr>
          <w:p w14:paraId="6B1699FA" w14:textId="61322C0A" w:rsidR="006D15D9" w:rsidRPr="009F50A1" w:rsidRDefault="00BB2C13" w:rsidP="00BB2C13">
            <w:pPr>
              <w:spacing w:after="40"/>
              <w:rPr>
                <w:rFonts w:ascii="Calibri" w:eastAsia="Times New Roman" w:hAnsi="Calibri" w:cs="Calibri"/>
                <w:color w:val="0D0D0D"/>
                <w:kern w:val="0"/>
                <w:sz w:val="20"/>
                <w:szCs w:val="20"/>
                <w:lang w:eastAsia="fr-FR"/>
                <w14:ligatures w14:val="none"/>
              </w:rPr>
            </w:pPr>
            <w:r w:rsidRPr="00BB2C13">
              <w:rPr>
                <w:rFonts w:ascii="Calibri" w:eastAsia="Times New Roman" w:hAnsi="Calibri" w:cs="Calibri"/>
                <w:color w:val="0D0D0D"/>
                <w:kern w:val="0"/>
                <w:sz w:val="20"/>
                <w:szCs w:val="20"/>
                <w:lang w:eastAsia="fr-FR"/>
                <w14:ligatures w14:val="none"/>
              </w:rPr>
              <w:t>CSV, HTML</w:t>
            </w:r>
          </w:p>
        </w:tc>
        <w:tc>
          <w:tcPr>
            <w:tcW w:w="0" w:type="auto"/>
            <w:hideMark/>
          </w:tcPr>
          <w:p w14:paraId="5D1E073A" w14:textId="3B3B9BA3" w:rsidR="006D15D9" w:rsidRPr="009F50A1" w:rsidRDefault="00CC70F8" w:rsidP="00120990">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6D15D9" w:rsidRPr="009F50A1">
              <w:rPr>
                <w:rFonts w:ascii="Calibri" w:eastAsia="Times New Roman" w:hAnsi="Calibri" w:cs="Calibri"/>
                <w:color w:val="0D0D0D"/>
                <w:kern w:val="0"/>
                <w:sz w:val="20"/>
                <w:szCs w:val="20"/>
                <w:lang w:eastAsia="fr-FR"/>
                <w14:ligatures w14:val="none"/>
              </w:rPr>
              <w:t xml:space="preserve"> Iraq portal, SOMO website</w:t>
            </w:r>
          </w:p>
        </w:tc>
      </w:tr>
      <w:tr w:rsidR="002E5A69" w:rsidRPr="009F50A1" w14:paraId="485EE89B" w14:textId="77777777" w:rsidTr="006C21F9">
        <w:tc>
          <w:tcPr>
            <w:tcW w:w="0" w:type="auto"/>
          </w:tcPr>
          <w:p w14:paraId="5417A73D" w14:textId="195682C2" w:rsidR="002E5A69" w:rsidRPr="009F50A1" w:rsidRDefault="002E5A69" w:rsidP="002E5A69">
            <w:pPr>
              <w:spacing w:after="40"/>
              <w:rPr>
                <w:rFonts w:ascii="Calibri" w:eastAsia="Times New Roman" w:hAnsi="Calibri" w:cs="Calibri"/>
                <w:color w:val="0D0D0D"/>
                <w:kern w:val="0"/>
                <w:sz w:val="20"/>
                <w:szCs w:val="20"/>
                <w:lang w:eastAsia="fr-FR"/>
                <w14:ligatures w14:val="none"/>
              </w:rPr>
            </w:pPr>
            <w:r w:rsidRPr="002E5A69">
              <w:rPr>
                <w:rFonts w:ascii="Calibri" w:eastAsia="Times New Roman" w:hAnsi="Calibri" w:cs="Calibri"/>
                <w:b/>
                <w:bCs/>
                <w:color w:val="0D0D0D"/>
                <w:kern w:val="0"/>
                <w:sz w:val="20"/>
                <w:szCs w:val="20"/>
                <w:lang w:eastAsia="fr-FR"/>
                <w14:ligatures w14:val="none"/>
              </w:rPr>
              <w:t>Data Quality and Assurance Procedures</w:t>
            </w:r>
            <w:r w:rsidRPr="002E5A69">
              <w:rPr>
                <w:rFonts w:ascii="Calibri" w:eastAsia="Times New Roman" w:hAnsi="Calibri" w:cs="Calibri"/>
                <w:color w:val="0D0D0D"/>
                <w:kern w:val="0"/>
                <w:sz w:val="20"/>
                <w:szCs w:val="20"/>
                <w:lang w:eastAsia="fr-FR"/>
                <w14:ligatures w14:val="none"/>
              </w:rPr>
              <w:t xml:space="preserve"> </w:t>
            </w:r>
            <w:r w:rsidRPr="002E5A69">
              <w:rPr>
                <w:rFonts w:ascii="Calibri" w:eastAsia="Times New Roman" w:hAnsi="Calibri" w:cs="Calibri"/>
                <w:i/>
                <w:iCs/>
                <w:color w:val="0D0D0D"/>
                <w:kern w:val="0"/>
                <w:sz w:val="20"/>
                <w:szCs w:val="20"/>
                <w:lang w:eastAsia="fr-FR"/>
                <w14:ligatures w14:val="none"/>
              </w:rPr>
              <w:t>(Requirement 4.9)</w:t>
            </w:r>
          </w:p>
        </w:tc>
        <w:tc>
          <w:tcPr>
            <w:tcW w:w="0" w:type="auto"/>
          </w:tcPr>
          <w:p w14:paraId="2A77AE8C" w14:textId="1866940E" w:rsidR="002E5A69" w:rsidRPr="009F50A1" w:rsidRDefault="002E5A69" w:rsidP="002E5A69">
            <w:pPr>
              <w:spacing w:after="40"/>
              <w:rPr>
                <w:rFonts w:ascii="Calibri" w:eastAsia="Times New Roman" w:hAnsi="Calibri" w:cs="Calibri"/>
                <w:color w:val="0D0D0D"/>
                <w:kern w:val="0"/>
                <w:sz w:val="20"/>
                <w:szCs w:val="20"/>
                <w:lang w:eastAsia="fr-FR"/>
                <w14:ligatures w14:val="none"/>
              </w:rPr>
            </w:pPr>
            <w:r w:rsidRPr="002E5A69">
              <w:rPr>
                <w:rFonts w:ascii="Calibri" w:eastAsia="Times New Roman" w:hAnsi="Calibri" w:cs="Calibri"/>
                <w:color w:val="0D0D0D"/>
                <w:kern w:val="0"/>
                <w:sz w:val="20"/>
                <w:szCs w:val="20"/>
                <w:lang w:eastAsia="fr-FR"/>
                <w14:ligatures w14:val="none"/>
              </w:rPr>
              <w:t>Agreed procedures to ensure credibility of disclosed data: templates, audit checks, management sign-off, and review of assurance practices in government and company reporting.</w:t>
            </w:r>
          </w:p>
        </w:tc>
        <w:tc>
          <w:tcPr>
            <w:tcW w:w="0" w:type="auto"/>
          </w:tcPr>
          <w:p w14:paraId="4C6FED1A" w14:textId="7825B68F" w:rsidR="002E5A69" w:rsidRPr="009F50A1" w:rsidRDefault="002E5A69" w:rsidP="002E5A69">
            <w:pPr>
              <w:spacing w:after="40"/>
              <w:rPr>
                <w:rFonts w:ascii="Calibri" w:eastAsia="Times New Roman" w:hAnsi="Calibri" w:cs="Calibri"/>
                <w:color w:val="0D0D0D"/>
                <w:kern w:val="0"/>
                <w:sz w:val="20"/>
                <w:szCs w:val="20"/>
                <w:lang w:eastAsia="fr-FR"/>
                <w14:ligatures w14:val="none"/>
              </w:rPr>
            </w:pPr>
            <w:r w:rsidRPr="002E5A69">
              <w:rPr>
                <w:rFonts w:ascii="Calibri" w:eastAsia="Times New Roman" w:hAnsi="Calibri" w:cs="Calibri"/>
                <w:color w:val="0D0D0D"/>
                <w:kern w:val="0"/>
                <w:sz w:val="20"/>
                <w:szCs w:val="20"/>
                <w:lang w:eastAsia="fr-FR"/>
                <w14:ligatures w14:val="none"/>
              </w:rPr>
              <w:t>EITI MSG,</w:t>
            </w:r>
          </w:p>
        </w:tc>
        <w:tc>
          <w:tcPr>
            <w:tcW w:w="0" w:type="auto"/>
          </w:tcPr>
          <w:p w14:paraId="7CE7D9C8" w14:textId="5B2A6E5E" w:rsidR="002E5A69" w:rsidRPr="009F50A1" w:rsidRDefault="0068364F" w:rsidP="0068364F">
            <w:pPr>
              <w:spacing w:after="40"/>
              <w:rPr>
                <w:rFonts w:ascii="Calibri" w:eastAsia="Times New Roman" w:hAnsi="Calibri" w:cs="Calibri"/>
                <w:color w:val="0D0D0D"/>
                <w:kern w:val="0"/>
                <w:sz w:val="20"/>
                <w:szCs w:val="20"/>
                <w:lang w:eastAsia="fr-FR"/>
                <w14:ligatures w14:val="none"/>
              </w:rPr>
            </w:pPr>
            <w:r w:rsidRPr="0068364F">
              <w:rPr>
                <w:rFonts w:ascii="Calibri" w:eastAsia="Times New Roman" w:hAnsi="Calibri" w:cs="Calibri"/>
                <w:color w:val="0D0D0D"/>
                <w:kern w:val="0"/>
                <w:sz w:val="20"/>
                <w:szCs w:val="20"/>
                <w:lang w:eastAsia="fr-FR"/>
                <w14:ligatures w14:val="none"/>
              </w:rPr>
              <w:t>By reporting entity</w:t>
            </w:r>
          </w:p>
        </w:tc>
        <w:tc>
          <w:tcPr>
            <w:tcW w:w="0" w:type="auto"/>
          </w:tcPr>
          <w:p w14:paraId="659AB79A" w14:textId="30C1215F" w:rsidR="002E5A69" w:rsidRPr="009F50A1" w:rsidRDefault="0068364F" w:rsidP="0068364F">
            <w:pPr>
              <w:spacing w:after="40"/>
              <w:rPr>
                <w:rFonts w:ascii="Calibri" w:eastAsia="Times New Roman" w:hAnsi="Calibri" w:cs="Calibri"/>
                <w:color w:val="0D0D0D"/>
                <w:kern w:val="0"/>
                <w:sz w:val="20"/>
                <w:szCs w:val="20"/>
                <w:lang w:eastAsia="fr-FR"/>
                <w14:ligatures w14:val="none"/>
              </w:rPr>
            </w:pPr>
            <w:r w:rsidRPr="0068364F">
              <w:rPr>
                <w:rFonts w:ascii="Calibri" w:eastAsia="Times New Roman" w:hAnsi="Calibri" w:cs="Calibri"/>
                <w:color w:val="0D0D0D"/>
                <w:kern w:val="0"/>
                <w:sz w:val="20"/>
                <w:szCs w:val="20"/>
                <w:lang w:eastAsia="fr-FR"/>
                <w14:ligatures w14:val="none"/>
              </w:rPr>
              <w:t>Annually</w:t>
            </w:r>
          </w:p>
        </w:tc>
        <w:tc>
          <w:tcPr>
            <w:tcW w:w="0" w:type="auto"/>
          </w:tcPr>
          <w:p w14:paraId="7B828926" w14:textId="697CDF02" w:rsidR="002E5A69" w:rsidRPr="009F50A1" w:rsidRDefault="0068364F" w:rsidP="00120990">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HTML</w:t>
            </w:r>
          </w:p>
        </w:tc>
        <w:tc>
          <w:tcPr>
            <w:tcW w:w="0" w:type="auto"/>
          </w:tcPr>
          <w:p w14:paraId="59D480D2" w14:textId="29A71A04" w:rsidR="002E5A69" w:rsidRPr="009F50A1" w:rsidRDefault="00CC70F8" w:rsidP="0068364F">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68364F" w:rsidRPr="0068364F">
              <w:rPr>
                <w:rFonts w:ascii="Calibri" w:eastAsia="Times New Roman" w:hAnsi="Calibri" w:cs="Calibri"/>
                <w:color w:val="0D0D0D"/>
                <w:kern w:val="0"/>
                <w:sz w:val="20"/>
                <w:szCs w:val="20"/>
                <w:lang w:eastAsia="fr-FR"/>
                <w14:ligatures w14:val="none"/>
              </w:rPr>
              <w:t xml:space="preserve"> Iraq portal</w:t>
            </w:r>
          </w:p>
        </w:tc>
      </w:tr>
    </w:tbl>
    <w:p w14:paraId="08799E2B" w14:textId="23CC829F" w:rsidR="006D15D9" w:rsidRPr="008036CC" w:rsidRDefault="005F017B" w:rsidP="006D15D9">
      <w:pPr>
        <w:pStyle w:val="Heading4"/>
        <w:spacing w:before="120" w:after="120"/>
        <w:rPr>
          <w:rFonts w:ascii="Kohinoor Devanagari" w:hAnsi="Kohinoor Devanagari" w:cs="Kohinoor Devanagari"/>
          <w:b/>
          <w:bCs/>
          <w:sz w:val="22"/>
          <w:szCs w:val="22"/>
        </w:rPr>
      </w:pPr>
      <w:r>
        <w:rPr>
          <w:rFonts w:ascii="Kohinoor Devanagari" w:hAnsi="Kohinoor Devanagari" w:cs="Kohinoor Devanagari"/>
          <w:b/>
          <w:bCs/>
          <w:sz w:val="22"/>
          <w:szCs w:val="22"/>
        </w:rPr>
        <w:t xml:space="preserve">7.2. </w:t>
      </w:r>
      <w:r w:rsidR="006D15D9" w:rsidRPr="008036CC">
        <w:rPr>
          <w:rFonts w:ascii="Kohinoor Devanagari" w:hAnsi="Kohinoor Devanagari" w:cs="Kohinoor Devanagari"/>
          <w:b/>
          <w:bCs/>
          <w:sz w:val="22"/>
          <w:szCs w:val="22"/>
        </w:rPr>
        <w:t>Infrastructure Provisions and Barter Arrangements (Requirement 4.3)</w:t>
      </w:r>
    </w:p>
    <w:p w14:paraId="3CB59B48" w14:textId="77777777" w:rsidR="006D15D9" w:rsidRPr="008036CC" w:rsidRDefault="006D15D9" w:rsidP="006D15D9">
      <w:pPr>
        <w:rPr>
          <w:rFonts w:ascii="Kohinoor Devanagari" w:eastAsia="Times New Roman" w:hAnsi="Kohinoor Devanagari" w:cs="Kohinoor Devanagari"/>
          <w:b/>
          <w:bCs/>
          <w:color w:val="0D0D0D"/>
          <w:kern w:val="0"/>
          <w:sz w:val="22"/>
          <w:szCs w:val="22"/>
          <w:lang w:eastAsia="fr-FR"/>
          <w14:ligatures w14:val="none"/>
        </w:rPr>
      </w:pPr>
      <w:r w:rsidRPr="008036CC">
        <w:rPr>
          <w:rFonts w:ascii="Kohinoor Devanagari" w:eastAsia="Times New Roman" w:hAnsi="Kohinoor Devanagari" w:cs="Kohinoor Devanagari"/>
          <w:b/>
          <w:bCs/>
          <w:color w:val="0D0D0D"/>
          <w:kern w:val="0"/>
          <w:sz w:val="22"/>
          <w:szCs w:val="22"/>
          <w:lang w:eastAsia="fr-FR"/>
          <w14:ligatures w14:val="none"/>
        </w:rPr>
        <w:t>Objective</w:t>
      </w:r>
    </w:p>
    <w:p w14:paraId="1E12F3D2" w14:textId="77777777" w:rsidR="006D15D9" w:rsidRPr="008036CC" w:rsidRDefault="006D15D9" w:rsidP="002D3CD8">
      <w:p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8036CC">
        <w:rPr>
          <w:rFonts w:ascii="Kohinoor Devanagari" w:eastAsia="Times New Roman" w:hAnsi="Kohinoor Devanagari" w:cs="Kohinoor Devanagari"/>
          <w:color w:val="0D0D0D"/>
          <w:kern w:val="0"/>
          <w:sz w:val="22"/>
          <w:szCs w:val="22"/>
          <w:lang w:eastAsia="fr-FR"/>
          <w14:ligatures w14:val="none"/>
        </w:rPr>
        <w:t>This section ensures public understanding of infrastructure provisions, barter agreements, and resource-backed loans, allowing for:</w:t>
      </w:r>
    </w:p>
    <w:p w14:paraId="582090E3" w14:textId="77777777" w:rsidR="006D15D9" w:rsidRPr="008036CC" w:rsidRDefault="006D15D9" w:rsidP="00FD2B68">
      <w:pPr>
        <w:numPr>
          <w:ilvl w:val="0"/>
          <w:numId w:val="63"/>
        </w:num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8036CC">
        <w:rPr>
          <w:rFonts w:ascii="Kohinoor Devanagari" w:eastAsia="Times New Roman" w:hAnsi="Kohinoor Devanagari" w:cs="Kohinoor Devanagari"/>
          <w:color w:val="0D0D0D"/>
          <w:kern w:val="0"/>
          <w:sz w:val="22"/>
          <w:szCs w:val="22"/>
          <w:lang w:eastAsia="fr-FR"/>
          <w14:ligatures w14:val="none"/>
        </w:rPr>
        <w:t>Comparability between oil-backed agreements and conventional extractive sector contracts.</w:t>
      </w:r>
    </w:p>
    <w:p w14:paraId="746326E2" w14:textId="77777777" w:rsidR="006D15D9" w:rsidRPr="008036CC" w:rsidRDefault="006D15D9" w:rsidP="00FD2B68">
      <w:pPr>
        <w:numPr>
          <w:ilvl w:val="0"/>
          <w:numId w:val="63"/>
        </w:num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8036CC">
        <w:rPr>
          <w:rFonts w:ascii="Kohinoor Devanagari" w:eastAsia="Times New Roman" w:hAnsi="Kohinoor Devanagari" w:cs="Kohinoor Devanagari"/>
          <w:color w:val="0D0D0D"/>
          <w:kern w:val="0"/>
          <w:sz w:val="22"/>
          <w:szCs w:val="22"/>
          <w:lang w:eastAsia="fr-FR"/>
          <w14:ligatures w14:val="none"/>
        </w:rPr>
        <w:t>Transparency in infrastructure projects funded through natural resource exchanges.</w:t>
      </w:r>
    </w:p>
    <w:p w14:paraId="1AD7A4D0" w14:textId="77777777" w:rsidR="006D15D9" w:rsidRPr="008036CC" w:rsidRDefault="006D15D9" w:rsidP="00FD2B68">
      <w:pPr>
        <w:numPr>
          <w:ilvl w:val="0"/>
          <w:numId w:val="63"/>
        </w:num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8036CC">
        <w:rPr>
          <w:rFonts w:ascii="Kohinoor Devanagari" w:eastAsia="Times New Roman" w:hAnsi="Kohinoor Devanagari" w:cs="Kohinoor Devanagari"/>
          <w:color w:val="0D0D0D"/>
          <w:kern w:val="0"/>
          <w:sz w:val="22"/>
          <w:szCs w:val="22"/>
          <w:lang w:eastAsia="fr-FR"/>
          <w14:ligatures w14:val="none"/>
        </w:rPr>
        <w:t>Disclosure of all terms, repayment structures, and financial implications of resource-backed loans.</w:t>
      </w:r>
    </w:p>
    <w:p w14:paraId="5DDA8B04" w14:textId="4368B185" w:rsidR="006D15D9" w:rsidRPr="009F50A1" w:rsidRDefault="006D15D9" w:rsidP="006D15D9">
      <w:pPr>
        <w:rPr>
          <w:rFonts w:ascii="Kohinoor Devanagari" w:eastAsia="Times New Roman" w:hAnsi="Kohinoor Devanagari" w:cs="Kohinoor Devanagari"/>
          <w:b/>
          <w:bCs/>
          <w:color w:val="0D0D0D"/>
          <w:kern w:val="0"/>
          <w:sz w:val="22"/>
          <w:szCs w:val="22"/>
          <w:lang w:eastAsia="fr-FR"/>
          <w14:ligatures w14:val="none"/>
        </w:rPr>
      </w:pPr>
      <w:r w:rsidRPr="009F50A1">
        <w:rPr>
          <w:rFonts w:ascii="Kohinoor Devanagari" w:eastAsia="Times New Roman" w:hAnsi="Kohinoor Devanagari" w:cs="Kohinoor Devanagari"/>
          <w:b/>
          <w:bCs/>
          <w:color w:val="0D0D0D"/>
          <w:kern w:val="0"/>
          <w:sz w:val="22"/>
          <w:szCs w:val="22"/>
          <w:lang w:eastAsia="fr-FR"/>
          <w14:ligatures w14:val="none"/>
        </w:rPr>
        <w:t>Data Disclosure Requirements</w:t>
      </w:r>
    </w:p>
    <w:tbl>
      <w:tblPr>
        <w:tblStyle w:val="TableGrid"/>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533"/>
        <w:gridCol w:w="1628"/>
        <w:gridCol w:w="1302"/>
        <w:gridCol w:w="1495"/>
        <w:gridCol w:w="1099"/>
        <w:gridCol w:w="986"/>
        <w:gridCol w:w="1295"/>
      </w:tblGrid>
      <w:tr w:rsidR="00D67AA9" w:rsidRPr="00D67AA9" w14:paraId="6E16CD04" w14:textId="77777777" w:rsidTr="00D67AA9">
        <w:trPr>
          <w:tblHeader/>
        </w:trPr>
        <w:tc>
          <w:tcPr>
            <w:tcW w:w="0" w:type="auto"/>
            <w:shd w:val="clear" w:color="auto" w:fill="748A96"/>
            <w:hideMark/>
          </w:tcPr>
          <w:p w14:paraId="2413EEEC" w14:textId="77777777" w:rsidR="006D15D9" w:rsidRPr="00C52386" w:rsidRDefault="006D15D9"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Data Type</w:t>
            </w:r>
          </w:p>
        </w:tc>
        <w:tc>
          <w:tcPr>
            <w:tcW w:w="0" w:type="auto"/>
            <w:shd w:val="clear" w:color="auto" w:fill="748A96"/>
            <w:hideMark/>
          </w:tcPr>
          <w:p w14:paraId="2BC19EBD" w14:textId="77777777" w:rsidR="006D15D9" w:rsidRPr="00C52386" w:rsidRDefault="006D15D9"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Description</w:t>
            </w:r>
          </w:p>
        </w:tc>
        <w:tc>
          <w:tcPr>
            <w:tcW w:w="0" w:type="auto"/>
            <w:shd w:val="clear" w:color="auto" w:fill="748A96"/>
            <w:hideMark/>
          </w:tcPr>
          <w:p w14:paraId="3DF38BAE" w14:textId="77777777" w:rsidR="006D15D9" w:rsidRPr="00C52386" w:rsidRDefault="006D15D9"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Responsible Entities</w:t>
            </w:r>
          </w:p>
        </w:tc>
        <w:tc>
          <w:tcPr>
            <w:tcW w:w="0" w:type="auto"/>
            <w:shd w:val="clear" w:color="auto" w:fill="748A96"/>
            <w:hideMark/>
          </w:tcPr>
          <w:p w14:paraId="434275F1" w14:textId="77777777" w:rsidR="006D15D9" w:rsidRPr="00C52386" w:rsidRDefault="006D15D9"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Disaggregation</w:t>
            </w:r>
          </w:p>
        </w:tc>
        <w:tc>
          <w:tcPr>
            <w:tcW w:w="0" w:type="auto"/>
            <w:shd w:val="clear" w:color="auto" w:fill="748A96"/>
            <w:hideMark/>
          </w:tcPr>
          <w:p w14:paraId="67B36F52" w14:textId="77777777" w:rsidR="006D15D9" w:rsidRPr="00C52386" w:rsidRDefault="006D15D9"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Frequency</w:t>
            </w:r>
          </w:p>
        </w:tc>
        <w:tc>
          <w:tcPr>
            <w:tcW w:w="0" w:type="auto"/>
            <w:shd w:val="clear" w:color="auto" w:fill="748A96"/>
            <w:hideMark/>
          </w:tcPr>
          <w:p w14:paraId="69C295A5" w14:textId="77777777" w:rsidR="006D15D9" w:rsidRPr="00C52386" w:rsidRDefault="006D15D9"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Format</w:t>
            </w:r>
          </w:p>
        </w:tc>
        <w:tc>
          <w:tcPr>
            <w:tcW w:w="0" w:type="auto"/>
            <w:shd w:val="clear" w:color="auto" w:fill="748A96"/>
            <w:hideMark/>
          </w:tcPr>
          <w:p w14:paraId="68F3DA9E" w14:textId="77777777" w:rsidR="006D15D9" w:rsidRPr="00C52386" w:rsidRDefault="006D15D9"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Publication Channels</w:t>
            </w:r>
          </w:p>
        </w:tc>
      </w:tr>
      <w:tr w:rsidR="00B37732" w:rsidRPr="009F50A1" w14:paraId="7E3279A0" w14:textId="77777777" w:rsidTr="006C21F9">
        <w:tc>
          <w:tcPr>
            <w:tcW w:w="0" w:type="auto"/>
            <w:hideMark/>
          </w:tcPr>
          <w:p w14:paraId="7BC408B0" w14:textId="77777777" w:rsidR="002446A4" w:rsidRPr="009F50A1" w:rsidRDefault="002446A4" w:rsidP="002446A4">
            <w:pPr>
              <w:spacing w:after="40"/>
              <w:rPr>
                <w:rFonts w:ascii="Calibri" w:eastAsia="Times New Roman" w:hAnsi="Calibri" w:cs="Calibri"/>
                <w:b/>
                <w:bCs/>
                <w:color w:val="0D0D0D"/>
                <w:kern w:val="0"/>
                <w:sz w:val="20"/>
                <w:szCs w:val="20"/>
                <w:lang w:eastAsia="fr-FR"/>
                <w14:ligatures w14:val="none"/>
              </w:rPr>
            </w:pPr>
            <w:r w:rsidRPr="009F50A1">
              <w:rPr>
                <w:rFonts w:ascii="Calibri" w:eastAsia="Times New Roman" w:hAnsi="Calibri" w:cs="Calibri"/>
                <w:b/>
                <w:bCs/>
                <w:color w:val="0D0D0D"/>
                <w:kern w:val="0"/>
                <w:sz w:val="20"/>
                <w:szCs w:val="20"/>
                <w:lang w:eastAsia="fr-FR"/>
                <w14:ligatures w14:val="none"/>
              </w:rPr>
              <w:t>Assessment of Barter &amp; Infrastructure Agreements</w:t>
            </w:r>
          </w:p>
        </w:tc>
        <w:tc>
          <w:tcPr>
            <w:tcW w:w="0" w:type="auto"/>
            <w:hideMark/>
          </w:tcPr>
          <w:p w14:paraId="2A8E3A0E"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Identification of agreements where goods, services, or loans are exchanged for extractive resources.</w:t>
            </w:r>
          </w:p>
        </w:tc>
        <w:tc>
          <w:tcPr>
            <w:tcW w:w="0" w:type="auto"/>
            <w:hideMark/>
          </w:tcPr>
          <w:p w14:paraId="2D55F724" w14:textId="33DCF34D" w:rsidR="002446A4" w:rsidRPr="009F50A1" w:rsidRDefault="00CC70F8" w:rsidP="002446A4">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2446A4" w:rsidRPr="009F50A1">
              <w:rPr>
                <w:rFonts w:ascii="Calibri" w:eastAsia="Times New Roman" w:hAnsi="Calibri" w:cs="Calibri"/>
                <w:color w:val="0D0D0D"/>
                <w:kern w:val="0"/>
                <w:sz w:val="20"/>
                <w:szCs w:val="20"/>
                <w:lang w:eastAsia="fr-FR"/>
                <w14:ligatures w14:val="none"/>
              </w:rPr>
              <w:t xml:space="preserve"> Iraq MSG, Ministry of Finance, Ministry of Oil</w:t>
            </w:r>
          </w:p>
        </w:tc>
        <w:tc>
          <w:tcPr>
            <w:tcW w:w="0" w:type="auto"/>
            <w:hideMark/>
          </w:tcPr>
          <w:p w14:paraId="55F6E190"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By agreement type, party involved</w:t>
            </w:r>
          </w:p>
        </w:tc>
        <w:tc>
          <w:tcPr>
            <w:tcW w:w="0" w:type="auto"/>
            <w:hideMark/>
          </w:tcPr>
          <w:p w14:paraId="7B384812"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Annually &amp; Updates</w:t>
            </w:r>
          </w:p>
        </w:tc>
        <w:tc>
          <w:tcPr>
            <w:tcW w:w="0" w:type="auto"/>
            <w:hideMark/>
          </w:tcPr>
          <w:p w14:paraId="3931D6EC" w14:textId="4EAED950"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HTML</w:t>
            </w:r>
          </w:p>
        </w:tc>
        <w:tc>
          <w:tcPr>
            <w:tcW w:w="0" w:type="auto"/>
            <w:hideMark/>
          </w:tcPr>
          <w:p w14:paraId="480EE34A" w14:textId="64F6D0FD" w:rsidR="002446A4" w:rsidRPr="009F50A1" w:rsidRDefault="00CC70F8" w:rsidP="002446A4">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2446A4" w:rsidRPr="009F50A1">
              <w:rPr>
                <w:rFonts w:ascii="Calibri" w:eastAsia="Times New Roman" w:hAnsi="Calibri" w:cs="Calibri"/>
                <w:color w:val="0D0D0D"/>
                <w:kern w:val="0"/>
                <w:sz w:val="20"/>
                <w:szCs w:val="20"/>
                <w:lang w:eastAsia="fr-FR"/>
                <w14:ligatures w14:val="none"/>
              </w:rPr>
              <w:t xml:space="preserve"> Iraq portal, Ministry of Finance website</w:t>
            </w:r>
          </w:p>
        </w:tc>
      </w:tr>
      <w:tr w:rsidR="00B37732" w:rsidRPr="009F50A1" w14:paraId="6B5C24B5" w14:textId="77777777" w:rsidTr="006C21F9">
        <w:tc>
          <w:tcPr>
            <w:tcW w:w="0" w:type="auto"/>
            <w:hideMark/>
          </w:tcPr>
          <w:p w14:paraId="7170F6F8" w14:textId="77777777" w:rsidR="002446A4" w:rsidRPr="009F50A1" w:rsidRDefault="002446A4" w:rsidP="002446A4">
            <w:pPr>
              <w:spacing w:after="40"/>
              <w:rPr>
                <w:rFonts w:ascii="Calibri" w:eastAsia="Times New Roman" w:hAnsi="Calibri" w:cs="Calibri"/>
                <w:b/>
                <w:bCs/>
                <w:color w:val="0D0D0D"/>
                <w:kern w:val="0"/>
                <w:sz w:val="20"/>
                <w:szCs w:val="20"/>
                <w:lang w:eastAsia="fr-FR"/>
                <w14:ligatures w14:val="none"/>
              </w:rPr>
            </w:pPr>
            <w:r w:rsidRPr="009F50A1">
              <w:rPr>
                <w:rFonts w:ascii="Calibri" w:eastAsia="Times New Roman" w:hAnsi="Calibri" w:cs="Calibri"/>
                <w:b/>
                <w:bCs/>
                <w:color w:val="0D0D0D"/>
                <w:kern w:val="0"/>
                <w:sz w:val="20"/>
                <w:szCs w:val="20"/>
                <w:lang w:eastAsia="fr-FR"/>
                <w14:ligatures w14:val="none"/>
              </w:rPr>
              <w:t>Resource-Backed Loan Agreements</w:t>
            </w:r>
          </w:p>
        </w:tc>
        <w:tc>
          <w:tcPr>
            <w:tcW w:w="0" w:type="auto"/>
            <w:hideMark/>
          </w:tcPr>
          <w:p w14:paraId="15BF6E13"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Terms of oil-backed loans, including pledged resources, loan value, and repayment modalities.</w:t>
            </w:r>
          </w:p>
        </w:tc>
        <w:tc>
          <w:tcPr>
            <w:tcW w:w="0" w:type="auto"/>
            <w:hideMark/>
          </w:tcPr>
          <w:p w14:paraId="6BEE8A9E"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Ministry of Finance, Central Bank of Iraq, Ministry of Oil</w:t>
            </w:r>
          </w:p>
          <w:p w14:paraId="3948C6AF"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Ministry of Natural Resources (KRG)</w:t>
            </w:r>
          </w:p>
        </w:tc>
        <w:tc>
          <w:tcPr>
            <w:tcW w:w="0" w:type="auto"/>
            <w:hideMark/>
          </w:tcPr>
          <w:p w14:paraId="37FB0802"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By agreement, lender</w:t>
            </w:r>
          </w:p>
        </w:tc>
        <w:tc>
          <w:tcPr>
            <w:tcW w:w="0" w:type="auto"/>
            <w:hideMark/>
          </w:tcPr>
          <w:p w14:paraId="346F05CD"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Annually &amp; Updates</w:t>
            </w:r>
          </w:p>
        </w:tc>
        <w:tc>
          <w:tcPr>
            <w:tcW w:w="0" w:type="auto"/>
            <w:hideMark/>
          </w:tcPr>
          <w:p w14:paraId="223E517B" w14:textId="66A1D828"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2446A4">
              <w:rPr>
                <w:rFonts w:ascii="Calibri" w:eastAsia="Times New Roman" w:hAnsi="Calibri" w:cs="Calibri"/>
                <w:b/>
                <w:bCs/>
                <w:color w:val="0D0D0D"/>
                <w:kern w:val="0"/>
                <w:sz w:val="20"/>
                <w:szCs w:val="20"/>
                <w:lang w:eastAsia="fr-FR"/>
                <w14:ligatures w14:val="none"/>
              </w:rPr>
              <w:t>CSV, HTML</w:t>
            </w:r>
            <w:r w:rsidRPr="002446A4">
              <w:rPr>
                <w:rFonts w:ascii="Calibri" w:eastAsia="Times New Roman" w:hAnsi="Calibri" w:cs="Calibri"/>
                <w:color w:val="0D0D0D"/>
                <w:kern w:val="0"/>
                <w:sz w:val="20"/>
                <w:szCs w:val="20"/>
                <w:lang w:eastAsia="fr-FR"/>
                <w14:ligatures w14:val="none"/>
              </w:rPr>
              <w:t xml:space="preserve"> (PDF optional)</w:t>
            </w:r>
          </w:p>
        </w:tc>
        <w:tc>
          <w:tcPr>
            <w:tcW w:w="0" w:type="auto"/>
            <w:hideMark/>
          </w:tcPr>
          <w:p w14:paraId="4BC8A483" w14:textId="352BCFCA" w:rsidR="002446A4" w:rsidRPr="009F50A1" w:rsidRDefault="00CC70F8" w:rsidP="002446A4">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2446A4" w:rsidRPr="009F50A1">
              <w:rPr>
                <w:rFonts w:ascii="Calibri" w:eastAsia="Times New Roman" w:hAnsi="Calibri" w:cs="Calibri"/>
                <w:color w:val="0D0D0D"/>
                <w:kern w:val="0"/>
                <w:sz w:val="20"/>
                <w:szCs w:val="20"/>
                <w:lang w:eastAsia="fr-FR"/>
                <w14:ligatures w14:val="none"/>
              </w:rPr>
              <w:t xml:space="preserve"> Iraq portal, Ministry of Finance website</w:t>
            </w:r>
          </w:p>
        </w:tc>
      </w:tr>
      <w:tr w:rsidR="00B37732" w:rsidRPr="009F50A1" w14:paraId="410B924B" w14:textId="77777777" w:rsidTr="006C21F9">
        <w:tc>
          <w:tcPr>
            <w:tcW w:w="0" w:type="auto"/>
            <w:hideMark/>
          </w:tcPr>
          <w:p w14:paraId="48F91BE7" w14:textId="77777777" w:rsidR="002446A4" w:rsidRPr="009F50A1" w:rsidRDefault="002446A4" w:rsidP="002446A4">
            <w:pPr>
              <w:spacing w:after="40"/>
              <w:rPr>
                <w:rFonts w:ascii="Calibri" w:eastAsia="Times New Roman" w:hAnsi="Calibri" w:cs="Calibri"/>
                <w:b/>
                <w:bCs/>
                <w:color w:val="0D0D0D"/>
                <w:kern w:val="0"/>
                <w:sz w:val="20"/>
                <w:szCs w:val="20"/>
                <w:lang w:eastAsia="fr-FR"/>
                <w14:ligatures w14:val="none"/>
              </w:rPr>
            </w:pPr>
            <w:r w:rsidRPr="009F50A1">
              <w:rPr>
                <w:rFonts w:ascii="Calibri" w:eastAsia="Times New Roman" w:hAnsi="Calibri" w:cs="Calibri"/>
                <w:b/>
                <w:bCs/>
                <w:color w:val="0D0D0D"/>
                <w:kern w:val="0"/>
                <w:sz w:val="20"/>
                <w:szCs w:val="20"/>
                <w:lang w:eastAsia="fr-FR"/>
                <w14:ligatures w14:val="none"/>
              </w:rPr>
              <w:t>Loan Disbursements and Repayments</w:t>
            </w:r>
          </w:p>
        </w:tc>
        <w:tc>
          <w:tcPr>
            <w:tcW w:w="0" w:type="auto"/>
            <w:hideMark/>
          </w:tcPr>
          <w:p w14:paraId="17B05958"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Total loan disbursements, oil deliveries, and outstanding balance.</w:t>
            </w:r>
          </w:p>
        </w:tc>
        <w:tc>
          <w:tcPr>
            <w:tcW w:w="0" w:type="auto"/>
            <w:hideMark/>
          </w:tcPr>
          <w:p w14:paraId="63603213"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Ministry of Finance, SOMO</w:t>
            </w:r>
          </w:p>
        </w:tc>
        <w:tc>
          <w:tcPr>
            <w:tcW w:w="0" w:type="auto"/>
            <w:hideMark/>
          </w:tcPr>
          <w:p w14:paraId="7C6DEA13"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 xml:space="preserve">By year, project, by agreement </w:t>
            </w:r>
          </w:p>
        </w:tc>
        <w:tc>
          <w:tcPr>
            <w:tcW w:w="0" w:type="auto"/>
            <w:hideMark/>
          </w:tcPr>
          <w:p w14:paraId="1FB9DFAD"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Quarterly</w:t>
            </w:r>
          </w:p>
          <w:p w14:paraId="38C6C498"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&amp;</w:t>
            </w:r>
          </w:p>
          <w:p w14:paraId="3C70BF67" w14:textId="788FB743"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Annuall</w:t>
            </w:r>
            <w:r>
              <w:rPr>
                <w:rFonts w:ascii="Calibri" w:eastAsia="Times New Roman" w:hAnsi="Calibri" w:cs="Calibri"/>
                <w:color w:val="0D0D0D"/>
                <w:kern w:val="0"/>
                <w:sz w:val="20"/>
                <w:szCs w:val="20"/>
                <w:lang w:eastAsia="fr-FR"/>
                <w14:ligatures w14:val="none"/>
              </w:rPr>
              <w:t>y</w:t>
            </w:r>
          </w:p>
        </w:tc>
        <w:tc>
          <w:tcPr>
            <w:tcW w:w="0" w:type="auto"/>
            <w:hideMark/>
          </w:tcPr>
          <w:p w14:paraId="4C6BB77F" w14:textId="69EE7455" w:rsidR="002446A4" w:rsidRPr="009F50A1" w:rsidRDefault="00E76EB9" w:rsidP="00E76EB9">
            <w:pPr>
              <w:spacing w:after="40"/>
              <w:rPr>
                <w:rFonts w:ascii="Calibri" w:eastAsia="Times New Roman" w:hAnsi="Calibri" w:cs="Calibri"/>
                <w:color w:val="0D0D0D"/>
                <w:kern w:val="0"/>
                <w:sz w:val="20"/>
                <w:szCs w:val="20"/>
                <w:lang w:eastAsia="fr-FR"/>
                <w14:ligatures w14:val="none"/>
              </w:rPr>
            </w:pPr>
            <w:r w:rsidRPr="00E76EB9">
              <w:rPr>
                <w:rFonts w:ascii="Calibri" w:eastAsia="Times New Roman" w:hAnsi="Calibri" w:cs="Calibri"/>
                <w:color w:val="0D0D0D"/>
                <w:kern w:val="0"/>
                <w:sz w:val="20"/>
                <w:szCs w:val="20"/>
                <w:lang w:eastAsia="fr-FR"/>
                <w14:ligatures w14:val="none"/>
              </w:rPr>
              <w:t>CSV, HTML</w:t>
            </w:r>
          </w:p>
        </w:tc>
        <w:tc>
          <w:tcPr>
            <w:tcW w:w="0" w:type="auto"/>
            <w:hideMark/>
          </w:tcPr>
          <w:p w14:paraId="5B6B5E40" w14:textId="7BEB7A81" w:rsidR="002446A4" w:rsidRPr="009F50A1" w:rsidRDefault="007E5DE7" w:rsidP="002446A4">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Pr="009F50A1">
              <w:rPr>
                <w:rFonts w:ascii="Calibri" w:eastAsia="Times New Roman" w:hAnsi="Calibri" w:cs="Calibri"/>
                <w:color w:val="0D0D0D"/>
                <w:kern w:val="0"/>
                <w:sz w:val="20"/>
                <w:szCs w:val="20"/>
                <w:lang w:eastAsia="fr-FR"/>
                <w14:ligatures w14:val="none"/>
              </w:rPr>
              <w:t xml:space="preserve"> </w:t>
            </w:r>
            <w:r w:rsidR="002446A4" w:rsidRPr="009F50A1">
              <w:rPr>
                <w:rFonts w:ascii="Calibri" w:eastAsia="Times New Roman" w:hAnsi="Calibri" w:cs="Calibri"/>
                <w:color w:val="0D0D0D"/>
                <w:kern w:val="0"/>
                <w:sz w:val="20"/>
                <w:szCs w:val="20"/>
                <w:lang w:eastAsia="fr-FR"/>
                <w14:ligatures w14:val="none"/>
              </w:rPr>
              <w:t>Iraq portal, SOMO</w:t>
            </w:r>
            <w:r w:rsidR="009F011D">
              <w:rPr>
                <w:rFonts w:ascii="Calibri" w:eastAsia="Times New Roman" w:hAnsi="Calibri" w:cs="Calibri"/>
                <w:color w:val="0D0D0D"/>
                <w:kern w:val="0"/>
                <w:sz w:val="20"/>
                <w:szCs w:val="20"/>
                <w:lang w:eastAsia="fr-FR"/>
                <w14:ligatures w14:val="none"/>
              </w:rPr>
              <w:t>/</w:t>
            </w:r>
            <w:proofErr w:type="spellStart"/>
            <w:r w:rsidR="009F011D">
              <w:rPr>
                <w:rFonts w:ascii="Calibri" w:eastAsia="Times New Roman" w:hAnsi="Calibri" w:cs="Calibri"/>
                <w:color w:val="0D0D0D"/>
                <w:kern w:val="0"/>
                <w:sz w:val="20"/>
                <w:szCs w:val="20"/>
                <w:lang w:eastAsia="fr-FR"/>
                <w14:ligatures w14:val="none"/>
              </w:rPr>
              <w:t>MoO</w:t>
            </w:r>
            <w:proofErr w:type="spellEnd"/>
            <w:r w:rsidR="002446A4" w:rsidRPr="009F50A1">
              <w:rPr>
                <w:rFonts w:ascii="Calibri" w:eastAsia="Times New Roman" w:hAnsi="Calibri" w:cs="Calibri"/>
                <w:color w:val="0D0D0D"/>
                <w:kern w:val="0"/>
                <w:sz w:val="20"/>
                <w:szCs w:val="20"/>
                <w:lang w:eastAsia="fr-FR"/>
                <w14:ligatures w14:val="none"/>
              </w:rPr>
              <w:t xml:space="preserve"> website</w:t>
            </w:r>
          </w:p>
        </w:tc>
      </w:tr>
      <w:tr w:rsidR="00B37732" w:rsidRPr="009F50A1" w14:paraId="1F01C17B" w14:textId="77777777" w:rsidTr="006C21F9">
        <w:tc>
          <w:tcPr>
            <w:tcW w:w="0" w:type="auto"/>
            <w:hideMark/>
          </w:tcPr>
          <w:p w14:paraId="73F8274D" w14:textId="77777777" w:rsidR="002446A4" w:rsidRPr="009F50A1" w:rsidRDefault="002446A4" w:rsidP="002446A4">
            <w:pPr>
              <w:spacing w:after="40"/>
              <w:rPr>
                <w:rFonts w:ascii="Calibri" w:eastAsia="Times New Roman" w:hAnsi="Calibri" w:cs="Calibri"/>
                <w:b/>
                <w:bCs/>
                <w:color w:val="0D0D0D"/>
                <w:kern w:val="0"/>
                <w:sz w:val="20"/>
                <w:szCs w:val="20"/>
                <w:lang w:eastAsia="fr-FR"/>
                <w14:ligatures w14:val="none"/>
              </w:rPr>
            </w:pPr>
            <w:r w:rsidRPr="009F50A1">
              <w:rPr>
                <w:rFonts w:ascii="Calibri" w:eastAsia="Times New Roman" w:hAnsi="Calibri" w:cs="Calibri"/>
                <w:b/>
                <w:bCs/>
                <w:color w:val="0D0D0D"/>
                <w:kern w:val="0"/>
                <w:sz w:val="20"/>
                <w:szCs w:val="20"/>
                <w:lang w:eastAsia="fr-FR"/>
                <w14:ligatures w14:val="none"/>
              </w:rPr>
              <w:t>Infrastructure Projects Financed by Oil-Backed Loans</w:t>
            </w:r>
          </w:p>
        </w:tc>
        <w:tc>
          <w:tcPr>
            <w:tcW w:w="0" w:type="auto"/>
            <w:hideMark/>
          </w:tcPr>
          <w:p w14:paraId="1208AFEF"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List of projects funded, including status, costs, and expected completion dates.</w:t>
            </w:r>
          </w:p>
        </w:tc>
        <w:tc>
          <w:tcPr>
            <w:tcW w:w="0" w:type="auto"/>
            <w:hideMark/>
          </w:tcPr>
          <w:p w14:paraId="72521A25"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Ministry of Planning, Ministry of Oil</w:t>
            </w:r>
          </w:p>
        </w:tc>
        <w:tc>
          <w:tcPr>
            <w:tcW w:w="0" w:type="auto"/>
            <w:hideMark/>
          </w:tcPr>
          <w:p w14:paraId="52C1F1BB"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By project, sector</w:t>
            </w:r>
          </w:p>
        </w:tc>
        <w:tc>
          <w:tcPr>
            <w:tcW w:w="0" w:type="auto"/>
            <w:hideMark/>
          </w:tcPr>
          <w:p w14:paraId="7563692C"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Annually</w:t>
            </w:r>
          </w:p>
        </w:tc>
        <w:tc>
          <w:tcPr>
            <w:tcW w:w="0" w:type="auto"/>
            <w:hideMark/>
          </w:tcPr>
          <w:p w14:paraId="01C6BFD0" w14:textId="7BF1E01B" w:rsidR="002446A4" w:rsidRPr="009F50A1" w:rsidRDefault="00E76EB9" w:rsidP="00E76EB9">
            <w:pPr>
              <w:spacing w:after="40"/>
              <w:rPr>
                <w:rFonts w:ascii="Calibri" w:eastAsia="Times New Roman" w:hAnsi="Calibri" w:cs="Calibri"/>
                <w:color w:val="0D0D0D"/>
                <w:kern w:val="0"/>
                <w:sz w:val="20"/>
                <w:szCs w:val="20"/>
                <w:lang w:eastAsia="fr-FR"/>
                <w14:ligatures w14:val="none"/>
              </w:rPr>
            </w:pPr>
            <w:r w:rsidRPr="00E76EB9">
              <w:rPr>
                <w:rFonts w:ascii="Calibri" w:eastAsia="Times New Roman" w:hAnsi="Calibri" w:cs="Calibri"/>
                <w:b/>
                <w:bCs/>
                <w:color w:val="0D0D0D"/>
                <w:kern w:val="0"/>
                <w:sz w:val="20"/>
                <w:szCs w:val="20"/>
                <w:lang w:eastAsia="fr-FR"/>
                <w14:ligatures w14:val="none"/>
              </w:rPr>
              <w:t>CSV, HTML</w:t>
            </w:r>
            <w:r w:rsidRPr="00E76EB9">
              <w:rPr>
                <w:rFonts w:ascii="Calibri" w:eastAsia="Times New Roman" w:hAnsi="Calibri" w:cs="Calibri"/>
                <w:color w:val="0D0D0D"/>
                <w:kern w:val="0"/>
                <w:sz w:val="20"/>
                <w:szCs w:val="20"/>
                <w:lang w:eastAsia="fr-FR"/>
                <w14:ligatures w14:val="none"/>
              </w:rPr>
              <w:t xml:space="preserve"> (PDF optional)</w:t>
            </w:r>
          </w:p>
        </w:tc>
        <w:tc>
          <w:tcPr>
            <w:tcW w:w="0" w:type="auto"/>
            <w:hideMark/>
          </w:tcPr>
          <w:p w14:paraId="40B947BC" w14:textId="6EFEF64C" w:rsidR="002446A4" w:rsidRPr="009F50A1" w:rsidRDefault="007E5DE7" w:rsidP="002446A4">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2446A4" w:rsidRPr="009F50A1">
              <w:rPr>
                <w:rFonts w:ascii="Calibri" w:eastAsia="Times New Roman" w:hAnsi="Calibri" w:cs="Calibri"/>
                <w:color w:val="0D0D0D"/>
                <w:kern w:val="0"/>
                <w:sz w:val="20"/>
                <w:szCs w:val="20"/>
                <w:lang w:eastAsia="fr-FR"/>
                <w14:ligatures w14:val="none"/>
              </w:rPr>
              <w:t xml:space="preserve"> Iraq portal, Ministry of Planning website</w:t>
            </w:r>
          </w:p>
        </w:tc>
      </w:tr>
      <w:tr w:rsidR="00B37732" w:rsidRPr="009F50A1" w14:paraId="0C10E74A" w14:textId="77777777" w:rsidTr="006C21F9">
        <w:tc>
          <w:tcPr>
            <w:tcW w:w="0" w:type="auto"/>
            <w:hideMark/>
          </w:tcPr>
          <w:p w14:paraId="21684F6C" w14:textId="77777777" w:rsidR="002446A4" w:rsidRPr="009F50A1" w:rsidRDefault="002446A4" w:rsidP="002446A4">
            <w:pPr>
              <w:spacing w:after="40"/>
              <w:rPr>
                <w:rFonts w:ascii="Calibri" w:eastAsia="Times New Roman" w:hAnsi="Calibri" w:cs="Calibri"/>
                <w:b/>
                <w:bCs/>
                <w:color w:val="0D0D0D"/>
                <w:kern w:val="0"/>
                <w:sz w:val="20"/>
                <w:szCs w:val="20"/>
                <w:lang w:eastAsia="fr-FR"/>
                <w14:ligatures w14:val="none"/>
              </w:rPr>
            </w:pPr>
            <w:r w:rsidRPr="009F50A1">
              <w:rPr>
                <w:rFonts w:ascii="Calibri" w:eastAsia="Times New Roman" w:hAnsi="Calibri" w:cs="Calibri"/>
                <w:b/>
                <w:bCs/>
                <w:color w:val="0D0D0D"/>
                <w:kern w:val="0"/>
                <w:sz w:val="20"/>
                <w:szCs w:val="20"/>
                <w:lang w:eastAsia="fr-FR"/>
                <w14:ligatures w14:val="none"/>
              </w:rPr>
              <w:t>Oil Deliveries Under Loan Agreements</w:t>
            </w:r>
          </w:p>
        </w:tc>
        <w:tc>
          <w:tcPr>
            <w:tcW w:w="0" w:type="auto"/>
            <w:hideMark/>
          </w:tcPr>
          <w:p w14:paraId="39BB9D81"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Volume of crude oil allocated to debt servicing, including buyer details.</w:t>
            </w:r>
          </w:p>
        </w:tc>
        <w:tc>
          <w:tcPr>
            <w:tcW w:w="0" w:type="auto"/>
            <w:hideMark/>
          </w:tcPr>
          <w:p w14:paraId="6D962B56"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SOMO, Ministry of Oil</w:t>
            </w:r>
          </w:p>
        </w:tc>
        <w:tc>
          <w:tcPr>
            <w:tcW w:w="0" w:type="auto"/>
            <w:hideMark/>
          </w:tcPr>
          <w:p w14:paraId="35097B67"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By buyer, transaction</w:t>
            </w:r>
          </w:p>
        </w:tc>
        <w:tc>
          <w:tcPr>
            <w:tcW w:w="0" w:type="auto"/>
            <w:hideMark/>
          </w:tcPr>
          <w:p w14:paraId="47CFED51"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Monthly &amp; Annually</w:t>
            </w:r>
          </w:p>
        </w:tc>
        <w:tc>
          <w:tcPr>
            <w:tcW w:w="0" w:type="auto"/>
            <w:hideMark/>
          </w:tcPr>
          <w:p w14:paraId="0ED02089"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CSV, JSON</w:t>
            </w:r>
          </w:p>
        </w:tc>
        <w:tc>
          <w:tcPr>
            <w:tcW w:w="0" w:type="auto"/>
            <w:hideMark/>
          </w:tcPr>
          <w:p w14:paraId="617CCEA8" w14:textId="7BCF4E2B" w:rsidR="002446A4" w:rsidRPr="009F50A1" w:rsidRDefault="007E5DE7" w:rsidP="002446A4">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2446A4" w:rsidRPr="009F50A1">
              <w:rPr>
                <w:rFonts w:ascii="Calibri" w:eastAsia="Times New Roman" w:hAnsi="Calibri" w:cs="Calibri"/>
                <w:color w:val="0D0D0D"/>
                <w:kern w:val="0"/>
                <w:sz w:val="20"/>
                <w:szCs w:val="20"/>
                <w:lang w:eastAsia="fr-FR"/>
                <w14:ligatures w14:val="none"/>
              </w:rPr>
              <w:t xml:space="preserve"> Iraq portal, SOMO</w:t>
            </w:r>
            <w:r w:rsidR="00B37732">
              <w:rPr>
                <w:rFonts w:ascii="Calibri" w:eastAsia="Times New Roman" w:hAnsi="Calibri" w:cs="Calibri"/>
                <w:color w:val="0D0D0D"/>
                <w:kern w:val="0"/>
                <w:sz w:val="20"/>
                <w:szCs w:val="20"/>
                <w:lang w:eastAsia="fr-FR"/>
                <w14:ligatures w14:val="none"/>
              </w:rPr>
              <w:t>/</w:t>
            </w:r>
            <w:proofErr w:type="spellStart"/>
            <w:r w:rsidR="00B37732">
              <w:rPr>
                <w:rFonts w:ascii="Calibri" w:eastAsia="Times New Roman" w:hAnsi="Calibri" w:cs="Calibri"/>
                <w:color w:val="0D0D0D"/>
                <w:kern w:val="0"/>
                <w:sz w:val="20"/>
                <w:szCs w:val="20"/>
                <w:lang w:eastAsia="fr-FR"/>
                <w14:ligatures w14:val="none"/>
              </w:rPr>
              <w:t>MoO</w:t>
            </w:r>
            <w:proofErr w:type="spellEnd"/>
            <w:r w:rsidR="002446A4" w:rsidRPr="009F50A1">
              <w:rPr>
                <w:rFonts w:ascii="Calibri" w:eastAsia="Times New Roman" w:hAnsi="Calibri" w:cs="Calibri"/>
                <w:color w:val="0D0D0D"/>
                <w:kern w:val="0"/>
                <w:sz w:val="20"/>
                <w:szCs w:val="20"/>
                <w:lang w:eastAsia="fr-FR"/>
                <w14:ligatures w14:val="none"/>
              </w:rPr>
              <w:t xml:space="preserve"> website</w:t>
            </w:r>
          </w:p>
        </w:tc>
      </w:tr>
      <w:tr w:rsidR="00B37732" w:rsidRPr="009F50A1" w14:paraId="43F99A92" w14:textId="77777777" w:rsidTr="006C21F9">
        <w:tc>
          <w:tcPr>
            <w:tcW w:w="0" w:type="auto"/>
            <w:hideMark/>
          </w:tcPr>
          <w:p w14:paraId="7F85B6B4" w14:textId="77777777" w:rsidR="002446A4" w:rsidRPr="009F50A1" w:rsidRDefault="002446A4" w:rsidP="002446A4">
            <w:pPr>
              <w:spacing w:after="40"/>
              <w:rPr>
                <w:rFonts w:ascii="Calibri" w:eastAsia="Times New Roman" w:hAnsi="Calibri" w:cs="Calibri"/>
                <w:b/>
                <w:bCs/>
                <w:color w:val="0D0D0D"/>
                <w:kern w:val="0"/>
                <w:sz w:val="20"/>
                <w:szCs w:val="20"/>
                <w:lang w:eastAsia="fr-FR"/>
                <w14:ligatures w14:val="none"/>
              </w:rPr>
            </w:pPr>
            <w:r w:rsidRPr="009F50A1">
              <w:rPr>
                <w:rFonts w:ascii="Calibri" w:eastAsia="Times New Roman" w:hAnsi="Calibri" w:cs="Calibri"/>
                <w:b/>
                <w:bCs/>
                <w:color w:val="0D0D0D"/>
                <w:kern w:val="0"/>
                <w:sz w:val="20"/>
                <w:szCs w:val="20"/>
                <w:lang w:eastAsia="fr-FR"/>
                <w14:ligatures w14:val="none"/>
              </w:rPr>
              <w:t>Interest Rates and Repayment Terms</w:t>
            </w:r>
          </w:p>
        </w:tc>
        <w:tc>
          <w:tcPr>
            <w:tcW w:w="0" w:type="auto"/>
            <w:hideMark/>
          </w:tcPr>
          <w:p w14:paraId="47BF19C4"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Disclosure of interest rates, loan tenure, and associated fees.</w:t>
            </w:r>
          </w:p>
        </w:tc>
        <w:tc>
          <w:tcPr>
            <w:tcW w:w="0" w:type="auto"/>
            <w:hideMark/>
          </w:tcPr>
          <w:p w14:paraId="094C5025"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Ministry of Finance, Ministry of Oil</w:t>
            </w:r>
          </w:p>
        </w:tc>
        <w:tc>
          <w:tcPr>
            <w:tcW w:w="0" w:type="auto"/>
            <w:hideMark/>
          </w:tcPr>
          <w:p w14:paraId="4FAB4A0C"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By agreement</w:t>
            </w:r>
          </w:p>
        </w:tc>
        <w:tc>
          <w:tcPr>
            <w:tcW w:w="0" w:type="auto"/>
            <w:hideMark/>
          </w:tcPr>
          <w:p w14:paraId="79448772"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Annually &amp; Updates</w:t>
            </w:r>
          </w:p>
        </w:tc>
        <w:tc>
          <w:tcPr>
            <w:tcW w:w="0" w:type="auto"/>
            <w:hideMark/>
          </w:tcPr>
          <w:p w14:paraId="550D1F7E" w14:textId="092F55FC" w:rsidR="002446A4" w:rsidRPr="009F50A1" w:rsidRDefault="00CD70EB" w:rsidP="002446A4">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HTML</w:t>
            </w:r>
            <w:r w:rsidR="002446A4" w:rsidRPr="009F50A1">
              <w:rPr>
                <w:rFonts w:ascii="Calibri" w:eastAsia="Times New Roman" w:hAnsi="Calibri" w:cs="Calibri"/>
                <w:color w:val="0D0D0D"/>
                <w:kern w:val="0"/>
                <w:sz w:val="20"/>
                <w:szCs w:val="20"/>
                <w:lang w:eastAsia="fr-FR"/>
                <w14:ligatures w14:val="none"/>
              </w:rPr>
              <w:t>, CSV</w:t>
            </w:r>
          </w:p>
        </w:tc>
        <w:tc>
          <w:tcPr>
            <w:tcW w:w="0" w:type="auto"/>
            <w:hideMark/>
          </w:tcPr>
          <w:p w14:paraId="737E0102" w14:textId="47236992" w:rsidR="002446A4" w:rsidRPr="009F50A1" w:rsidRDefault="007E5DE7" w:rsidP="002446A4">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2446A4" w:rsidRPr="009F50A1">
              <w:rPr>
                <w:rFonts w:ascii="Calibri" w:eastAsia="Times New Roman" w:hAnsi="Calibri" w:cs="Calibri"/>
                <w:color w:val="0D0D0D"/>
                <w:kern w:val="0"/>
                <w:sz w:val="20"/>
                <w:szCs w:val="20"/>
                <w:lang w:eastAsia="fr-FR"/>
                <w14:ligatures w14:val="none"/>
              </w:rPr>
              <w:t xml:space="preserve"> Iraq portal, Ministry of Finance website</w:t>
            </w:r>
          </w:p>
        </w:tc>
      </w:tr>
      <w:tr w:rsidR="00B37732" w:rsidRPr="009F50A1" w14:paraId="4EE8C865" w14:textId="77777777" w:rsidTr="006C21F9">
        <w:tc>
          <w:tcPr>
            <w:tcW w:w="0" w:type="auto"/>
            <w:hideMark/>
          </w:tcPr>
          <w:p w14:paraId="59AB9BCB" w14:textId="77777777" w:rsidR="002446A4" w:rsidRPr="009F50A1" w:rsidRDefault="002446A4" w:rsidP="002446A4">
            <w:pPr>
              <w:spacing w:after="40"/>
              <w:rPr>
                <w:rFonts w:ascii="Calibri" w:eastAsia="Times New Roman" w:hAnsi="Calibri" w:cs="Calibri"/>
                <w:b/>
                <w:bCs/>
                <w:color w:val="0D0D0D"/>
                <w:kern w:val="0"/>
                <w:sz w:val="20"/>
                <w:szCs w:val="20"/>
                <w:lang w:eastAsia="fr-FR"/>
                <w14:ligatures w14:val="none"/>
              </w:rPr>
            </w:pPr>
            <w:r w:rsidRPr="009F50A1">
              <w:rPr>
                <w:rFonts w:ascii="Calibri" w:eastAsia="Times New Roman" w:hAnsi="Calibri" w:cs="Calibri"/>
                <w:b/>
                <w:bCs/>
                <w:color w:val="0D0D0D"/>
                <w:kern w:val="0"/>
                <w:sz w:val="20"/>
                <w:szCs w:val="20"/>
                <w:lang w:eastAsia="fr-FR"/>
                <w14:ligatures w14:val="none"/>
              </w:rPr>
              <w:t>Comparative Analysis of Agreements</w:t>
            </w:r>
          </w:p>
        </w:tc>
        <w:tc>
          <w:tcPr>
            <w:tcW w:w="0" w:type="auto"/>
            <w:hideMark/>
          </w:tcPr>
          <w:p w14:paraId="2784A2E6"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Assessment of how resource-backed loans compare to conventional extractive agreements.</w:t>
            </w:r>
          </w:p>
        </w:tc>
        <w:tc>
          <w:tcPr>
            <w:tcW w:w="0" w:type="auto"/>
            <w:hideMark/>
          </w:tcPr>
          <w:p w14:paraId="266A1777"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EITI Iraq MSG</w:t>
            </w:r>
          </w:p>
        </w:tc>
        <w:tc>
          <w:tcPr>
            <w:tcW w:w="0" w:type="auto"/>
            <w:hideMark/>
          </w:tcPr>
          <w:p w14:paraId="4F12F5C3"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By agreement type</w:t>
            </w:r>
          </w:p>
        </w:tc>
        <w:tc>
          <w:tcPr>
            <w:tcW w:w="0" w:type="auto"/>
            <w:hideMark/>
          </w:tcPr>
          <w:p w14:paraId="256B2943" w14:textId="77777777" w:rsidR="002446A4" w:rsidRPr="009F50A1" w:rsidRDefault="002446A4" w:rsidP="002446A4">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Annually</w:t>
            </w:r>
          </w:p>
        </w:tc>
        <w:tc>
          <w:tcPr>
            <w:tcW w:w="0" w:type="auto"/>
            <w:hideMark/>
          </w:tcPr>
          <w:p w14:paraId="1B1AA6A4" w14:textId="780266DB" w:rsidR="002446A4" w:rsidRPr="009F50A1" w:rsidRDefault="00CD70EB" w:rsidP="002446A4">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HTML</w:t>
            </w:r>
          </w:p>
        </w:tc>
        <w:tc>
          <w:tcPr>
            <w:tcW w:w="0" w:type="auto"/>
            <w:hideMark/>
          </w:tcPr>
          <w:p w14:paraId="68779700" w14:textId="7513A866" w:rsidR="002446A4" w:rsidRPr="009F50A1" w:rsidRDefault="007E5DE7" w:rsidP="002446A4">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2446A4" w:rsidRPr="009F50A1">
              <w:rPr>
                <w:rFonts w:ascii="Calibri" w:eastAsia="Times New Roman" w:hAnsi="Calibri" w:cs="Calibri"/>
                <w:color w:val="0D0D0D"/>
                <w:kern w:val="0"/>
                <w:sz w:val="20"/>
                <w:szCs w:val="20"/>
                <w:lang w:eastAsia="fr-FR"/>
                <w14:ligatures w14:val="none"/>
              </w:rPr>
              <w:t xml:space="preserve"> Iraq portal</w:t>
            </w:r>
            <w:r w:rsidR="00B163BF">
              <w:rPr>
                <w:rFonts w:ascii="Calibri" w:eastAsia="Times New Roman" w:hAnsi="Calibri" w:cs="Calibri"/>
                <w:color w:val="0D0D0D"/>
                <w:kern w:val="0"/>
                <w:sz w:val="20"/>
                <w:szCs w:val="20"/>
                <w:lang w:eastAsia="fr-FR"/>
                <w14:ligatures w14:val="none"/>
              </w:rPr>
              <w:t>,</w:t>
            </w:r>
            <w:r w:rsidR="00B37732">
              <w:rPr>
                <w:rFonts w:ascii="Calibri" w:eastAsia="Times New Roman" w:hAnsi="Calibri" w:cs="Calibri"/>
                <w:color w:val="0D0D0D"/>
                <w:kern w:val="0"/>
                <w:sz w:val="20"/>
                <w:szCs w:val="20"/>
                <w:lang w:eastAsia="fr-FR"/>
                <w14:ligatures w14:val="none"/>
              </w:rPr>
              <w:t xml:space="preserve"> MoF </w:t>
            </w:r>
            <w:proofErr w:type="spellStart"/>
            <w:r w:rsidR="00B37732">
              <w:rPr>
                <w:rFonts w:ascii="Calibri" w:eastAsia="Times New Roman" w:hAnsi="Calibri" w:cs="Calibri"/>
                <w:color w:val="0D0D0D"/>
                <w:kern w:val="0"/>
                <w:sz w:val="20"/>
                <w:szCs w:val="20"/>
                <w:lang w:eastAsia="fr-FR"/>
                <w14:ligatures w14:val="none"/>
              </w:rPr>
              <w:t>Wenbsite</w:t>
            </w:r>
            <w:proofErr w:type="spellEnd"/>
          </w:p>
        </w:tc>
      </w:tr>
    </w:tbl>
    <w:p w14:paraId="25403A26" w14:textId="4809922B" w:rsidR="006D15D9" w:rsidRPr="00A3573B" w:rsidRDefault="005F017B" w:rsidP="006D15D9">
      <w:pPr>
        <w:pStyle w:val="Heading4"/>
        <w:spacing w:before="120" w:after="120"/>
        <w:rPr>
          <w:rFonts w:ascii="Kohinoor Devanagari" w:hAnsi="Kohinoor Devanagari" w:cs="Kohinoor Devanagari"/>
          <w:b/>
          <w:bCs/>
          <w:sz w:val="22"/>
          <w:szCs w:val="22"/>
        </w:rPr>
      </w:pPr>
      <w:r>
        <w:rPr>
          <w:rFonts w:ascii="Kohinoor Devanagari" w:hAnsi="Kohinoor Devanagari" w:cs="Kohinoor Devanagari"/>
          <w:b/>
          <w:bCs/>
          <w:sz w:val="22"/>
          <w:szCs w:val="22"/>
        </w:rPr>
        <w:t xml:space="preserve">7.3. </w:t>
      </w:r>
      <w:r w:rsidR="006D15D9" w:rsidRPr="00A3573B">
        <w:rPr>
          <w:rFonts w:ascii="Kohinoor Devanagari" w:hAnsi="Kohinoor Devanagari" w:cs="Kohinoor Devanagari"/>
          <w:b/>
          <w:bCs/>
          <w:sz w:val="22"/>
          <w:szCs w:val="22"/>
        </w:rPr>
        <w:t>Transportation Revenues (Requirement 4.4)</w:t>
      </w:r>
    </w:p>
    <w:p w14:paraId="2C0380B9" w14:textId="77777777" w:rsidR="006D15D9" w:rsidRPr="00927497" w:rsidRDefault="006D15D9" w:rsidP="002D3CD8">
      <w:pPr>
        <w:jc w:val="both"/>
        <w:rPr>
          <w:rFonts w:ascii="Kohinoor Devanagari" w:eastAsia="Times New Roman" w:hAnsi="Kohinoor Devanagari" w:cs="Kohinoor Devanagari"/>
          <w:b/>
          <w:bCs/>
          <w:color w:val="0D0D0D"/>
          <w:kern w:val="0"/>
          <w:sz w:val="22"/>
          <w:szCs w:val="22"/>
          <w:lang w:eastAsia="fr-FR"/>
          <w14:ligatures w14:val="none"/>
        </w:rPr>
      </w:pPr>
      <w:r w:rsidRPr="00927497">
        <w:rPr>
          <w:rFonts w:ascii="Kohinoor Devanagari" w:eastAsia="Times New Roman" w:hAnsi="Kohinoor Devanagari" w:cs="Kohinoor Devanagari"/>
          <w:b/>
          <w:bCs/>
          <w:color w:val="0D0D0D"/>
          <w:kern w:val="0"/>
          <w:sz w:val="22"/>
          <w:szCs w:val="22"/>
          <w:lang w:eastAsia="fr-FR"/>
          <w14:ligatures w14:val="none"/>
        </w:rPr>
        <w:t>Objective</w:t>
      </w:r>
    </w:p>
    <w:p w14:paraId="1D6E0689" w14:textId="77777777" w:rsidR="006D15D9" w:rsidRPr="00A3573B" w:rsidRDefault="006D15D9" w:rsidP="002D3CD8">
      <w:pPr>
        <w:spacing w:before="120" w:after="120" w:line="240" w:lineRule="auto"/>
        <w:jc w:val="both"/>
        <w:rPr>
          <w:rFonts w:ascii="Kohinoor Devanagari" w:eastAsia="Times New Roman" w:hAnsi="Kohinoor Devanagari" w:cs="Kohinoor Devanagari"/>
          <w:color w:val="0D0D0D"/>
          <w:kern w:val="0"/>
          <w:sz w:val="22"/>
          <w:szCs w:val="22"/>
          <w:lang w:eastAsia="fr-FR"/>
          <w14:ligatures w14:val="none"/>
        </w:rPr>
      </w:pPr>
      <w:r w:rsidRPr="00927497">
        <w:rPr>
          <w:rFonts w:ascii="Kohinoor Devanagari" w:eastAsia="Times New Roman" w:hAnsi="Kohinoor Devanagari" w:cs="Kohinoor Devanagari"/>
          <w:color w:val="0D0D0D"/>
          <w:kern w:val="0"/>
          <w:sz w:val="22"/>
          <w:szCs w:val="22"/>
          <w:lang w:eastAsia="fr-FR"/>
          <w14:ligatures w14:val="none"/>
        </w:rPr>
        <w:t xml:space="preserve">This section ensures transparency in government and SOE revenues from the transportation of oil, gas, and minerals. </w:t>
      </w:r>
    </w:p>
    <w:p w14:paraId="20FD7AA1" w14:textId="77777777" w:rsidR="006D15D9" w:rsidRPr="00927497" w:rsidRDefault="006D15D9" w:rsidP="006D15D9">
      <w:pPr>
        <w:rPr>
          <w:rFonts w:ascii="Kohinoor Devanagari" w:eastAsia="Times New Roman" w:hAnsi="Kohinoor Devanagari" w:cs="Kohinoor Devanagari"/>
          <w:b/>
          <w:bCs/>
          <w:color w:val="0D0D0D"/>
          <w:kern w:val="0"/>
          <w:sz w:val="22"/>
          <w:szCs w:val="22"/>
          <w:lang w:eastAsia="fr-FR"/>
          <w14:ligatures w14:val="none"/>
        </w:rPr>
      </w:pPr>
      <w:r w:rsidRPr="00927497">
        <w:rPr>
          <w:rFonts w:ascii="Kohinoor Devanagari" w:eastAsia="Times New Roman" w:hAnsi="Kohinoor Devanagari" w:cs="Kohinoor Devanagari"/>
          <w:b/>
          <w:bCs/>
          <w:color w:val="0D0D0D"/>
          <w:kern w:val="0"/>
          <w:sz w:val="22"/>
          <w:szCs w:val="22"/>
          <w:lang w:eastAsia="fr-FR"/>
          <w14:ligatures w14:val="none"/>
        </w:rPr>
        <w:t>Data Disclosure Requirements (If Applicable in the Future)</w:t>
      </w:r>
    </w:p>
    <w:tbl>
      <w:tblPr>
        <w:tblStyle w:val="TableGrid"/>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557"/>
        <w:gridCol w:w="1610"/>
        <w:gridCol w:w="1302"/>
        <w:gridCol w:w="1530"/>
        <w:gridCol w:w="1105"/>
        <w:gridCol w:w="996"/>
        <w:gridCol w:w="1238"/>
      </w:tblGrid>
      <w:tr w:rsidR="00D67AA9" w:rsidRPr="00D67AA9" w14:paraId="4A4E5E24" w14:textId="77777777" w:rsidTr="00D67AA9">
        <w:trPr>
          <w:tblHeader/>
        </w:trPr>
        <w:tc>
          <w:tcPr>
            <w:tcW w:w="0" w:type="auto"/>
            <w:shd w:val="clear" w:color="auto" w:fill="748A96"/>
            <w:hideMark/>
          </w:tcPr>
          <w:p w14:paraId="3756498E" w14:textId="77777777" w:rsidR="006D15D9" w:rsidRPr="00C52386" w:rsidRDefault="006D15D9"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Data Type</w:t>
            </w:r>
          </w:p>
        </w:tc>
        <w:tc>
          <w:tcPr>
            <w:tcW w:w="0" w:type="auto"/>
            <w:shd w:val="clear" w:color="auto" w:fill="748A96"/>
            <w:hideMark/>
          </w:tcPr>
          <w:p w14:paraId="0450A8FA" w14:textId="77777777" w:rsidR="006D15D9" w:rsidRPr="00C52386" w:rsidRDefault="006D15D9"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Description</w:t>
            </w:r>
          </w:p>
        </w:tc>
        <w:tc>
          <w:tcPr>
            <w:tcW w:w="0" w:type="auto"/>
            <w:shd w:val="clear" w:color="auto" w:fill="748A96"/>
            <w:hideMark/>
          </w:tcPr>
          <w:p w14:paraId="256F30E0" w14:textId="77777777" w:rsidR="006D15D9" w:rsidRPr="00C52386" w:rsidRDefault="006D15D9"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Responsible Entities</w:t>
            </w:r>
          </w:p>
        </w:tc>
        <w:tc>
          <w:tcPr>
            <w:tcW w:w="0" w:type="auto"/>
            <w:shd w:val="clear" w:color="auto" w:fill="748A96"/>
            <w:hideMark/>
          </w:tcPr>
          <w:p w14:paraId="35B2C1BD" w14:textId="77777777" w:rsidR="006D15D9" w:rsidRPr="00C52386" w:rsidRDefault="006D15D9"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Disaggregation</w:t>
            </w:r>
          </w:p>
        </w:tc>
        <w:tc>
          <w:tcPr>
            <w:tcW w:w="0" w:type="auto"/>
            <w:shd w:val="clear" w:color="auto" w:fill="748A96"/>
            <w:hideMark/>
          </w:tcPr>
          <w:p w14:paraId="25BF4AA0" w14:textId="77777777" w:rsidR="006D15D9" w:rsidRPr="00C52386" w:rsidRDefault="006D15D9"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Frequency</w:t>
            </w:r>
          </w:p>
        </w:tc>
        <w:tc>
          <w:tcPr>
            <w:tcW w:w="0" w:type="auto"/>
            <w:shd w:val="clear" w:color="auto" w:fill="748A96"/>
            <w:hideMark/>
          </w:tcPr>
          <w:p w14:paraId="369EA33C" w14:textId="77777777" w:rsidR="006D15D9" w:rsidRPr="00C52386" w:rsidRDefault="006D15D9"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Format</w:t>
            </w:r>
          </w:p>
        </w:tc>
        <w:tc>
          <w:tcPr>
            <w:tcW w:w="0" w:type="auto"/>
            <w:shd w:val="clear" w:color="auto" w:fill="748A96"/>
            <w:hideMark/>
          </w:tcPr>
          <w:p w14:paraId="7EE8F6BB" w14:textId="77777777" w:rsidR="006D15D9" w:rsidRPr="00C52386" w:rsidRDefault="006D15D9"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Publication Channels</w:t>
            </w:r>
          </w:p>
        </w:tc>
      </w:tr>
      <w:tr w:rsidR="00A3573B" w:rsidRPr="009F50A1" w14:paraId="0FA8FAE8" w14:textId="77777777" w:rsidTr="006C21F9">
        <w:tc>
          <w:tcPr>
            <w:tcW w:w="0" w:type="auto"/>
            <w:hideMark/>
          </w:tcPr>
          <w:p w14:paraId="3B7E6ECF" w14:textId="77777777" w:rsidR="006D15D9" w:rsidRPr="009F50A1" w:rsidRDefault="006D15D9" w:rsidP="00120990">
            <w:pPr>
              <w:spacing w:after="40"/>
              <w:rPr>
                <w:rFonts w:ascii="Calibri" w:eastAsia="Times New Roman" w:hAnsi="Calibri" w:cs="Calibri"/>
                <w:b/>
                <w:bCs/>
                <w:color w:val="0D0D0D"/>
                <w:kern w:val="0"/>
                <w:sz w:val="20"/>
                <w:szCs w:val="20"/>
                <w:lang w:eastAsia="fr-FR"/>
                <w14:ligatures w14:val="none"/>
              </w:rPr>
            </w:pPr>
            <w:r w:rsidRPr="009F50A1">
              <w:rPr>
                <w:rFonts w:ascii="Calibri" w:eastAsia="Times New Roman" w:hAnsi="Calibri" w:cs="Calibri"/>
                <w:b/>
                <w:bCs/>
                <w:color w:val="0D0D0D"/>
                <w:kern w:val="0"/>
                <w:sz w:val="20"/>
                <w:szCs w:val="20"/>
                <w:lang w:eastAsia="fr-FR"/>
                <w14:ligatures w14:val="none"/>
              </w:rPr>
              <w:t>Transportation Arrangements</w:t>
            </w:r>
          </w:p>
        </w:tc>
        <w:tc>
          <w:tcPr>
            <w:tcW w:w="0" w:type="auto"/>
            <w:hideMark/>
          </w:tcPr>
          <w:p w14:paraId="7C6DCBF8"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Description of transportation routes, infrastructure, and involved parties.</w:t>
            </w:r>
          </w:p>
        </w:tc>
        <w:tc>
          <w:tcPr>
            <w:tcW w:w="0" w:type="auto"/>
            <w:hideMark/>
          </w:tcPr>
          <w:p w14:paraId="1B36E1F5"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Ministry of Oil, Oil Pipelines Company</w:t>
            </w:r>
          </w:p>
        </w:tc>
        <w:tc>
          <w:tcPr>
            <w:tcW w:w="0" w:type="auto"/>
            <w:hideMark/>
          </w:tcPr>
          <w:p w14:paraId="23872708"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By transportation route, infrastructure type</w:t>
            </w:r>
          </w:p>
        </w:tc>
        <w:tc>
          <w:tcPr>
            <w:tcW w:w="0" w:type="auto"/>
            <w:hideMark/>
          </w:tcPr>
          <w:p w14:paraId="12F12C22"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Annually</w:t>
            </w:r>
          </w:p>
        </w:tc>
        <w:tc>
          <w:tcPr>
            <w:tcW w:w="0" w:type="auto"/>
            <w:hideMark/>
          </w:tcPr>
          <w:p w14:paraId="4936E01B" w14:textId="00BD1F6B" w:rsidR="006D15D9" w:rsidRPr="009F50A1" w:rsidRDefault="00A760E5" w:rsidP="00A760E5">
            <w:pPr>
              <w:spacing w:after="40"/>
              <w:rPr>
                <w:rFonts w:ascii="Calibri" w:eastAsia="Times New Roman" w:hAnsi="Calibri" w:cs="Calibri"/>
                <w:color w:val="0D0D0D"/>
                <w:kern w:val="0"/>
                <w:sz w:val="20"/>
                <w:szCs w:val="20"/>
                <w:lang w:eastAsia="fr-FR"/>
                <w14:ligatures w14:val="none"/>
              </w:rPr>
            </w:pPr>
            <w:r w:rsidRPr="00A760E5">
              <w:rPr>
                <w:rFonts w:ascii="Calibri" w:eastAsia="Times New Roman" w:hAnsi="Calibri" w:cs="Calibri"/>
                <w:b/>
                <w:bCs/>
                <w:color w:val="0D0D0D"/>
                <w:kern w:val="0"/>
                <w:sz w:val="20"/>
                <w:szCs w:val="20"/>
                <w:lang w:eastAsia="fr-FR"/>
                <w14:ligatures w14:val="none"/>
              </w:rPr>
              <w:t>HTML, CSV</w:t>
            </w:r>
            <w:r w:rsidRPr="00A760E5">
              <w:rPr>
                <w:rFonts w:ascii="Calibri" w:eastAsia="Times New Roman" w:hAnsi="Calibri" w:cs="Calibri"/>
                <w:color w:val="0D0D0D"/>
                <w:kern w:val="0"/>
                <w:sz w:val="20"/>
                <w:szCs w:val="20"/>
                <w:lang w:eastAsia="fr-FR"/>
                <w14:ligatures w14:val="none"/>
              </w:rPr>
              <w:t xml:space="preserve"> (PDF optional)</w:t>
            </w:r>
          </w:p>
        </w:tc>
        <w:tc>
          <w:tcPr>
            <w:tcW w:w="0" w:type="auto"/>
            <w:hideMark/>
          </w:tcPr>
          <w:p w14:paraId="594037C9" w14:textId="6CB31947" w:rsidR="006D15D9" w:rsidRPr="009F50A1" w:rsidRDefault="007E5DE7" w:rsidP="00120990">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FF3A87" w:rsidRPr="009F50A1">
              <w:rPr>
                <w:rFonts w:ascii="Calibri" w:eastAsia="Times New Roman" w:hAnsi="Calibri" w:cs="Calibri"/>
                <w:color w:val="0D0D0D"/>
                <w:kern w:val="0"/>
                <w:sz w:val="20"/>
                <w:szCs w:val="20"/>
                <w:lang w:eastAsia="fr-FR"/>
                <w14:ligatures w14:val="none"/>
              </w:rPr>
              <w:t xml:space="preserve"> Iraq portal, </w:t>
            </w:r>
            <w:proofErr w:type="spellStart"/>
            <w:r w:rsidR="00FF3A87">
              <w:rPr>
                <w:rFonts w:ascii="Calibri" w:eastAsia="Times New Roman" w:hAnsi="Calibri" w:cs="Calibri"/>
                <w:color w:val="0D0D0D"/>
                <w:kern w:val="0"/>
                <w:sz w:val="20"/>
                <w:szCs w:val="20"/>
                <w:lang w:eastAsia="fr-FR"/>
                <w14:ligatures w14:val="none"/>
              </w:rPr>
              <w:t>MoO</w:t>
            </w:r>
            <w:proofErr w:type="spellEnd"/>
            <w:r w:rsidR="00FF3A87">
              <w:rPr>
                <w:rFonts w:ascii="Calibri" w:eastAsia="Times New Roman" w:hAnsi="Calibri" w:cs="Calibri"/>
                <w:color w:val="0D0D0D"/>
                <w:kern w:val="0"/>
                <w:sz w:val="20"/>
                <w:szCs w:val="20"/>
                <w:lang w:eastAsia="fr-FR"/>
                <w14:ligatures w14:val="none"/>
              </w:rPr>
              <w:t xml:space="preserve"> </w:t>
            </w:r>
            <w:r w:rsidR="00FF3A87" w:rsidRPr="009F50A1">
              <w:rPr>
                <w:rFonts w:ascii="Calibri" w:eastAsia="Times New Roman" w:hAnsi="Calibri" w:cs="Calibri"/>
                <w:color w:val="0D0D0D"/>
                <w:kern w:val="0"/>
                <w:sz w:val="20"/>
                <w:szCs w:val="20"/>
                <w:lang w:eastAsia="fr-FR"/>
                <w14:ligatures w14:val="none"/>
              </w:rPr>
              <w:t>website</w:t>
            </w:r>
          </w:p>
        </w:tc>
      </w:tr>
      <w:tr w:rsidR="00A3573B" w:rsidRPr="009F50A1" w14:paraId="32A622C8" w14:textId="77777777" w:rsidTr="006C21F9">
        <w:tc>
          <w:tcPr>
            <w:tcW w:w="0" w:type="auto"/>
            <w:hideMark/>
          </w:tcPr>
          <w:p w14:paraId="60AE446F" w14:textId="77777777" w:rsidR="006D15D9" w:rsidRPr="009F50A1" w:rsidRDefault="006D15D9" w:rsidP="00120990">
            <w:pPr>
              <w:spacing w:after="40"/>
              <w:rPr>
                <w:rFonts w:ascii="Calibri" w:eastAsia="Times New Roman" w:hAnsi="Calibri" w:cs="Calibri"/>
                <w:b/>
                <w:bCs/>
                <w:color w:val="0D0D0D"/>
                <w:kern w:val="0"/>
                <w:sz w:val="20"/>
                <w:szCs w:val="20"/>
                <w:lang w:eastAsia="fr-FR"/>
                <w14:ligatures w14:val="none"/>
              </w:rPr>
            </w:pPr>
            <w:r w:rsidRPr="009F50A1">
              <w:rPr>
                <w:rFonts w:ascii="Calibri" w:eastAsia="Times New Roman" w:hAnsi="Calibri" w:cs="Calibri"/>
                <w:b/>
                <w:bCs/>
                <w:color w:val="0D0D0D"/>
                <w:kern w:val="0"/>
                <w:sz w:val="20"/>
                <w:szCs w:val="20"/>
                <w:lang w:eastAsia="fr-FR"/>
                <w14:ligatures w14:val="none"/>
              </w:rPr>
              <w:t>Tariffs &amp; Fees (If Levied)</w:t>
            </w:r>
          </w:p>
        </w:tc>
        <w:tc>
          <w:tcPr>
            <w:tcW w:w="0" w:type="auto"/>
            <w:hideMark/>
          </w:tcPr>
          <w:p w14:paraId="18845255"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Disclosure of applicable tariffs, methodologies for calculation, and revenue collected.</w:t>
            </w:r>
          </w:p>
        </w:tc>
        <w:tc>
          <w:tcPr>
            <w:tcW w:w="0" w:type="auto"/>
            <w:hideMark/>
          </w:tcPr>
          <w:p w14:paraId="275751F5"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Ministry of Oil, SOMO, Oil Pipelines Company</w:t>
            </w:r>
          </w:p>
        </w:tc>
        <w:tc>
          <w:tcPr>
            <w:tcW w:w="0" w:type="auto"/>
            <w:hideMark/>
          </w:tcPr>
          <w:p w14:paraId="5BEFFDFE"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By pipeline, volume, tariff rate</w:t>
            </w:r>
          </w:p>
        </w:tc>
        <w:tc>
          <w:tcPr>
            <w:tcW w:w="0" w:type="auto"/>
            <w:hideMark/>
          </w:tcPr>
          <w:p w14:paraId="20EFD8E2"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Annually</w:t>
            </w:r>
          </w:p>
        </w:tc>
        <w:tc>
          <w:tcPr>
            <w:tcW w:w="0" w:type="auto"/>
            <w:hideMark/>
          </w:tcPr>
          <w:p w14:paraId="2C602740" w14:textId="0DB8EC2C" w:rsidR="006D15D9" w:rsidRPr="009F50A1" w:rsidRDefault="00690CD5" w:rsidP="00690CD5">
            <w:pPr>
              <w:spacing w:after="40"/>
              <w:rPr>
                <w:rFonts w:ascii="Calibri" w:eastAsia="Times New Roman" w:hAnsi="Calibri" w:cs="Calibri"/>
                <w:color w:val="0D0D0D"/>
                <w:kern w:val="0"/>
                <w:sz w:val="20"/>
                <w:szCs w:val="20"/>
                <w:lang w:eastAsia="fr-FR"/>
                <w14:ligatures w14:val="none"/>
              </w:rPr>
            </w:pPr>
            <w:r w:rsidRPr="00690CD5">
              <w:rPr>
                <w:rFonts w:ascii="Calibri" w:eastAsia="Times New Roman" w:hAnsi="Calibri" w:cs="Calibri"/>
                <w:color w:val="0D0D0D"/>
                <w:kern w:val="0"/>
                <w:sz w:val="20"/>
                <w:szCs w:val="20"/>
                <w:lang w:eastAsia="fr-FR"/>
                <w14:ligatures w14:val="none"/>
              </w:rPr>
              <w:t>CSV, HTML</w:t>
            </w:r>
          </w:p>
        </w:tc>
        <w:tc>
          <w:tcPr>
            <w:tcW w:w="0" w:type="auto"/>
            <w:hideMark/>
          </w:tcPr>
          <w:p w14:paraId="7FCE9139" w14:textId="7854AF87" w:rsidR="006D15D9" w:rsidRPr="009F50A1" w:rsidRDefault="008C2905" w:rsidP="00120990">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FF3A87" w:rsidRPr="009F50A1">
              <w:rPr>
                <w:rFonts w:ascii="Calibri" w:eastAsia="Times New Roman" w:hAnsi="Calibri" w:cs="Calibri"/>
                <w:color w:val="0D0D0D"/>
                <w:kern w:val="0"/>
                <w:sz w:val="20"/>
                <w:szCs w:val="20"/>
                <w:lang w:eastAsia="fr-FR"/>
                <w14:ligatures w14:val="none"/>
              </w:rPr>
              <w:t xml:space="preserve"> Iraq portal, </w:t>
            </w:r>
            <w:proofErr w:type="spellStart"/>
            <w:r w:rsidR="00FF3A87">
              <w:rPr>
                <w:rFonts w:ascii="Calibri" w:eastAsia="Times New Roman" w:hAnsi="Calibri" w:cs="Calibri"/>
                <w:color w:val="0D0D0D"/>
                <w:kern w:val="0"/>
                <w:sz w:val="20"/>
                <w:szCs w:val="20"/>
                <w:lang w:eastAsia="fr-FR"/>
                <w14:ligatures w14:val="none"/>
              </w:rPr>
              <w:t>MoO</w:t>
            </w:r>
            <w:proofErr w:type="spellEnd"/>
            <w:r w:rsidR="00FF3A87">
              <w:rPr>
                <w:rFonts w:ascii="Calibri" w:eastAsia="Times New Roman" w:hAnsi="Calibri" w:cs="Calibri"/>
                <w:color w:val="0D0D0D"/>
                <w:kern w:val="0"/>
                <w:sz w:val="20"/>
                <w:szCs w:val="20"/>
                <w:lang w:eastAsia="fr-FR"/>
                <w14:ligatures w14:val="none"/>
              </w:rPr>
              <w:t xml:space="preserve"> </w:t>
            </w:r>
            <w:r w:rsidR="00FF3A87" w:rsidRPr="009F50A1">
              <w:rPr>
                <w:rFonts w:ascii="Calibri" w:eastAsia="Times New Roman" w:hAnsi="Calibri" w:cs="Calibri"/>
                <w:color w:val="0D0D0D"/>
                <w:kern w:val="0"/>
                <w:sz w:val="20"/>
                <w:szCs w:val="20"/>
                <w:lang w:eastAsia="fr-FR"/>
                <w14:ligatures w14:val="none"/>
              </w:rPr>
              <w:t>website</w:t>
            </w:r>
          </w:p>
        </w:tc>
      </w:tr>
      <w:tr w:rsidR="00A3573B" w:rsidRPr="009F50A1" w14:paraId="2A14B04D" w14:textId="77777777" w:rsidTr="006C21F9">
        <w:tc>
          <w:tcPr>
            <w:tcW w:w="0" w:type="auto"/>
            <w:hideMark/>
          </w:tcPr>
          <w:p w14:paraId="2A911BDD" w14:textId="77777777" w:rsidR="006D15D9" w:rsidRPr="009F50A1" w:rsidRDefault="006D15D9" w:rsidP="00120990">
            <w:pPr>
              <w:spacing w:after="40"/>
              <w:rPr>
                <w:rFonts w:ascii="Calibri" w:eastAsia="Times New Roman" w:hAnsi="Calibri" w:cs="Calibri"/>
                <w:b/>
                <w:bCs/>
                <w:color w:val="0D0D0D"/>
                <w:kern w:val="0"/>
                <w:sz w:val="20"/>
                <w:szCs w:val="20"/>
                <w:lang w:eastAsia="fr-FR"/>
                <w14:ligatures w14:val="none"/>
              </w:rPr>
            </w:pPr>
            <w:r w:rsidRPr="009F50A1">
              <w:rPr>
                <w:rFonts w:ascii="Calibri" w:eastAsia="Times New Roman" w:hAnsi="Calibri" w:cs="Calibri"/>
                <w:b/>
                <w:bCs/>
                <w:color w:val="0D0D0D"/>
                <w:kern w:val="0"/>
                <w:sz w:val="20"/>
                <w:szCs w:val="20"/>
                <w:lang w:eastAsia="fr-FR"/>
                <w14:ligatures w14:val="none"/>
              </w:rPr>
              <w:t>Volume of Transported Commodities</w:t>
            </w:r>
          </w:p>
        </w:tc>
        <w:tc>
          <w:tcPr>
            <w:tcW w:w="0" w:type="auto"/>
            <w:hideMark/>
          </w:tcPr>
          <w:p w14:paraId="1BE6B285"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Total volume of oil, gas, or minerals transported through state-owned infrastructure.</w:t>
            </w:r>
          </w:p>
        </w:tc>
        <w:tc>
          <w:tcPr>
            <w:tcW w:w="0" w:type="auto"/>
            <w:hideMark/>
          </w:tcPr>
          <w:p w14:paraId="7C5B6BDC"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SOMO, Ministry of Oil</w:t>
            </w:r>
          </w:p>
        </w:tc>
        <w:tc>
          <w:tcPr>
            <w:tcW w:w="0" w:type="auto"/>
            <w:hideMark/>
          </w:tcPr>
          <w:p w14:paraId="5A45C511"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By product, route</w:t>
            </w:r>
          </w:p>
        </w:tc>
        <w:tc>
          <w:tcPr>
            <w:tcW w:w="0" w:type="auto"/>
            <w:hideMark/>
          </w:tcPr>
          <w:p w14:paraId="41A5F79D"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Monthly &amp; Annually</w:t>
            </w:r>
          </w:p>
        </w:tc>
        <w:tc>
          <w:tcPr>
            <w:tcW w:w="0" w:type="auto"/>
            <w:hideMark/>
          </w:tcPr>
          <w:p w14:paraId="17192518"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CSV, JSON</w:t>
            </w:r>
          </w:p>
        </w:tc>
        <w:tc>
          <w:tcPr>
            <w:tcW w:w="0" w:type="auto"/>
            <w:hideMark/>
          </w:tcPr>
          <w:p w14:paraId="3AB0C224" w14:textId="7267DD90" w:rsidR="006D15D9" w:rsidRPr="009F50A1" w:rsidRDefault="008C2905" w:rsidP="00120990">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6D15D9" w:rsidRPr="009F50A1">
              <w:rPr>
                <w:rFonts w:ascii="Calibri" w:eastAsia="Times New Roman" w:hAnsi="Calibri" w:cs="Calibri"/>
                <w:color w:val="0D0D0D"/>
                <w:kern w:val="0"/>
                <w:sz w:val="20"/>
                <w:szCs w:val="20"/>
                <w:lang w:eastAsia="fr-FR"/>
                <w14:ligatures w14:val="none"/>
              </w:rPr>
              <w:t xml:space="preserve"> Iraq portal, </w:t>
            </w:r>
            <w:proofErr w:type="spellStart"/>
            <w:r w:rsidR="00690CD5">
              <w:rPr>
                <w:rFonts w:ascii="Calibri" w:eastAsia="Times New Roman" w:hAnsi="Calibri" w:cs="Calibri"/>
                <w:color w:val="0D0D0D"/>
                <w:kern w:val="0"/>
                <w:sz w:val="20"/>
                <w:szCs w:val="20"/>
                <w:lang w:eastAsia="fr-FR"/>
                <w14:ligatures w14:val="none"/>
              </w:rPr>
              <w:t>MoO</w:t>
            </w:r>
            <w:proofErr w:type="spellEnd"/>
            <w:r w:rsidR="00690CD5">
              <w:rPr>
                <w:rFonts w:ascii="Calibri" w:eastAsia="Times New Roman" w:hAnsi="Calibri" w:cs="Calibri"/>
                <w:color w:val="0D0D0D"/>
                <w:kern w:val="0"/>
                <w:sz w:val="20"/>
                <w:szCs w:val="20"/>
                <w:lang w:eastAsia="fr-FR"/>
                <w14:ligatures w14:val="none"/>
              </w:rPr>
              <w:t xml:space="preserve"> </w:t>
            </w:r>
            <w:r w:rsidR="006D15D9" w:rsidRPr="009F50A1">
              <w:rPr>
                <w:rFonts w:ascii="Calibri" w:eastAsia="Times New Roman" w:hAnsi="Calibri" w:cs="Calibri"/>
                <w:color w:val="0D0D0D"/>
                <w:kern w:val="0"/>
                <w:sz w:val="20"/>
                <w:szCs w:val="20"/>
                <w:lang w:eastAsia="fr-FR"/>
                <w14:ligatures w14:val="none"/>
              </w:rPr>
              <w:t>website</w:t>
            </w:r>
          </w:p>
        </w:tc>
      </w:tr>
      <w:tr w:rsidR="00A3573B" w:rsidRPr="009F50A1" w14:paraId="2D240D2C" w14:textId="77777777" w:rsidTr="006C21F9">
        <w:tc>
          <w:tcPr>
            <w:tcW w:w="0" w:type="auto"/>
            <w:hideMark/>
          </w:tcPr>
          <w:p w14:paraId="76BC4FEA" w14:textId="77777777" w:rsidR="006D15D9" w:rsidRPr="009F50A1" w:rsidRDefault="006D15D9" w:rsidP="00120990">
            <w:pPr>
              <w:spacing w:after="40"/>
              <w:rPr>
                <w:rFonts w:ascii="Calibri" w:eastAsia="Times New Roman" w:hAnsi="Calibri" w:cs="Calibri"/>
                <w:b/>
                <w:bCs/>
                <w:color w:val="0D0D0D"/>
                <w:kern w:val="0"/>
                <w:sz w:val="20"/>
                <w:szCs w:val="20"/>
                <w:lang w:eastAsia="fr-FR"/>
                <w14:ligatures w14:val="none"/>
              </w:rPr>
            </w:pPr>
            <w:r w:rsidRPr="009F50A1">
              <w:rPr>
                <w:rFonts w:ascii="Calibri" w:eastAsia="Times New Roman" w:hAnsi="Calibri" w:cs="Calibri"/>
                <w:b/>
                <w:bCs/>
                <w:color w:val="0D0D0D"/>
                <w:kern w:val="0"/>
                <w:sz w:val="20"/>
                <w:szCs w:val="20"/>
                <w:lang w:eastAsia="fr-FR"/>
                <w14:ligatures w14:val="none"/>
              </w:rPr>
              <w:t>Revenue from Transportation Services (If Applicable)</w:t>
            </w:r>
          </w:p>
        </w:tc>
        <w:tc>
          <w:tcPr>
            <w:tcW w:w="0" w:type="auto"/>
            <w:hideMark/>
          </w:tcPr>
          <w:p w14:paraId="3152AAF6"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Total transportation revenues collected by the state or SOEs.</w:t>
            </w:r>
          </w:p>
        </w:tc>
        <w:tc>
          <w:tcPr>
            <w:tcW w:w="0" w:type="auto"/>
            <w:hideMark/>
          </w:tcPr>
          <w:p w14:paraId="4B756905"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Ministry of Finance, Ministry of Oil</w:t>
            </w:r>
          </w:p>
        </w:tc>
        <w:tc>
          <w:tcPr>
            <w:tcW w:w="0" w:type="auto"/>
            <w:hideMark/>
          </w:tcPr>
          <w:p w14:paraId="724AD3DB"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By SOE, transaction</w:t>
            </w:r>
          </w:p>
        </w:tc>
        <w:tc>
          <w:tcPr>
            <w:tcW w:w="0" w:type="auto"/>
            <w:hideMark/>
          </w:tcPr>
          <w:p w14:paraId="3BAE801B" w14:textId="77777777" w:rsidR="006D15D9" w:rsidRPr="009F50A1" w:rsidRDefault="006D15D9" w:rsidP="00120990">
            <w:pPr>
              <w:spacing w:after="40"/>
              <w:rPr>
                <w:rFonts w:ascii="Calibri" w:eastAsia="Times New Roman" w:hAnsi="Calibri" w:cs="Calibri"/>
                <w:color w:val="0D0D0D"/>
                <w:kern w:val="0"/>
                <w:sz w:val="20"/>
                <w:szCs w:val="20"/>
                <w:lang w:eastAsia="fr-FR"/>
                <w14:ligatures w14:val="none"/>
              </w:rPr>
            </w:pPr>
            <w:r w:rsidRPr="009F50A1">
              <w:rPr>
                <w:rFonts w:ascii="Calibri" w:eastAsia="Times New Roman" w:hAnsi="Calibri" w:cs="Calibri"/>
                <w:color w:val="0D0D0D"/>
                <w:kern w:val="0"/>
                <w:sz w:val="20"/>
                <w:szCs w:val="20"/>
                <w:lang w:eastAsia="fr-FR"/>
                <w14:ligatures w14:val="none"/>
              </w:rPr>
              <w:t>Monthly &amp; Annually</w:t>
            </w:r>
          </w:p>
        </w:tc>
        <w:tc>
          <w:tcPr>
            <w:tcW w:w="0" w:type="auto"/>
            <w:hideMark/>
          </w:tcPr>
          <w:p w14:paraId="307555EA" w14:textId="0F062018" w:rsidR="006D15D9" w:rsidRPr="009F50A1" w:rsidRDefault="00690CD5" w:rsidP="00690CD5">
            <w:pPr>
              <w:spacing w:after="40"/>
              <w:rPr>
                <w:rFonts w:ascii="Calibri" w:eastAsia="Times New Roman" w:hAnsi="Calibri" w:cs="Calibri"/>
                <w:color w:val="0D0D0D"/>
                <w:kern w:val="0"/>
                <w:sz w:val="20"/>
                <w:szCs w:val="20"/>
                <w:lang w:eastAsia="fr-FR"/>
                <w14:ligatures w14:val="none"/>
              </w:rPr>
            </w:pPr>
            <w:r w:rsidRPr="00690CD5">
              <w:rPr>
                <w:rFonts w:ascii="Calibri" w:eastAsia="Times New Roman" w:hAnsi="Calibri" w:cs="Calibri"/>
                <w:color w:val="0D0D0D"/>
                <w:kern w:val="0"/>
                <w:sz w:val="20"/>
                <w:szCs w:val="20"/>
                <w:lang w:eastAsia="fr-FR"/>
                <w14:ligatures w14:val="none"/>
              </w:rPr>
              <w:t>CSV, HTML</w:t>
            </w:r>
          </w:p>
        </w:tc>
        <w:tc>
          <w:tcPr>
            <w:tcW w:w="0" w:type="auto"/>
            <w:hideMark/>
          </w:tcPr>
          <w:p w14:paraId="206DBE23" w14:textId="7D2D04F8" w:rsidR="006D15D9" w:rsidRPr="009F50A1" w:rsidRDefault="008C2905" w:rsidP="00120990">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6D15D9" w:rsidRPr="009F50A1">
              <w:rPr>
                <w:rFonts w:ascii="Calibri" w:eastAsia="Times New Roman" w:hAnsi="Calibri" w:cs="Calibri"/>
                <w:color w:val="0D0D0D"/>
                <w:kern w:val="0"/>
                <w:sz w:val="20"/>
                <w:szCs w:val="20"/>
                <w:lang w:eastAsia="fr-FR"/>
                <w14:ligatures w14:val="none"/>
              </w:rPr>
              <w:t xml:space="preserve"> Iraq portal, Ministry of Finance website</w:t>
            </w:r>
          </w:p>
        </w:tc>
      </w:tr>
    </w:tbl>
    <w:p w14:paraId="020A471F" w14:textId="11BD4E18" w:rsidR="00192813" w:rsidRPr="003B4A34" w:rsidRDefault="005F017B" w:rsidP="00192813">
      <w:pPr>
        <w:pStyle w:val="Heading4"/>
        <w:spacing w:before="120" w:after="120"/>
        <w:rPr>
          <w:rFonts w:ascii="Kohinoor Devanagari" w:hAnsi="Kohinoor Devanagari" w:cs="Kohinoor Devanagari"/>
          <w:b/>
          <w:bCs/>
          <w:sz w:val="22"/>
          <w:szCs w:val="22"/>
        </w:rPr>
      </w:pPr>
      <w:r>
        <w:rPr>
          <w:rFonts w:ascii="Kohinoor Devanagari" w:hAnsi="Kohinoor Devanagari" w:cs="Kohinoor Devanagari"/>
          <w:b/>
          <w:bCs/>
          <w:sz w:val="22"/>
          <w:szCs w:val="22"/>
        </w:rPr>
        <w:t xml:space="preserve">7.4. </w:t>
      </w:r>
      <w:r w:rsidR="00192813" w:rsidRPr="003B4A34">
        <w:rPr>
          <w:rFonts w:ascii="Kohinoor Devanagari" w:hAnsi="Kohinoor Devanagari" w:cs="Kohinoor Devanagari"/>
          <w:b/>
          <w:bCs/>
          <w:sz w:val="22"/>
          <w:szCs w:val="22"/>
        </w:rPr>
        <w:t>Project Costs (Requirement 4.10)</w:t>
      </w:r>
    </w:p>
    <w:p w14:paraId="5F571A5F" w14:textId="77777777" w:rsidR="00192813" w:rsidRPr="003B4A34" w:rsidRDefault="00192813" w:rsidP="00192813">
      <w:pPr>
        <w:rPr>
          <w:rFonts w:ascii="Kohinoor Devanagari" w:eastAsia="Times New Roman" w:hAnsi="Kohinoor Devanagari" w:cs="Kohinoor Devanagari"/>
          <w:b/>
          <w:bCs/>
          <w:color w:val="0D0D0D"/>
          <w:kern w:val="0"/>
          <w:sz w:val="22"/>
          <w:szCs w:val="22"/>
          <w:lang w:eastAsia="fr-FR"/>
          <w14:ligatures w14:val="none"/>
        </w:rPr>
      </w:pPr>
      <w:r w:rsidRPr="003B4A34">
        <w:rPr>
          <w:rFonts w:ascii="Kohinoor Devanagari" w:eastAsia="Times New Roman" w:hAnsi="Kohinoor Devanagari" w:cs="Kohinoor Devanagari"/>
          <w:b/>
          <w:bCs/>
          <w:color w:val="0D0D0D"/>
          <w:kern w:val="0"/>
          <w:sz w:val="22"/>
          <w:szCs w:val="22"/>
          <w:lang w:eastAsia="fr-FR"/>
          <w14:ligatures w14:val="none"/>
        </w:rPr>
        <w:t>Objective</w:t>
      </w:r>
    </w:p>
    <w:p w14:paraId="2B9B8B80" w14:textId="77777777" w:rsidR="00192813" w:rsidRPr="003B4A34" w:rsidRDefault="00192813" w:rsidP="00192813">
      <w:pPr>
        <w:spacing w:before="120" w:after="120" w:line="240" w:lineRule="auto"/>
        <w:jc w:val="both"/>
        <w:rPr>
          <w:rFonts w:ascii="Kohinoor Devanagari" w:eastAsia="Times New Roman" w:hAnsi="Kohinoor Devanagari" w:cs="Kohinoor Devanagari"/>
          <w:color w:val="0D0D0D"/>
          <w:kern w:val="0"/>
          <w:sz w:val="22"/>
          <w:szCs w:val="22"/>
          <w:lang w:eastAsia="fr-FR"/>
          <w14:ligatures w14:val="none"/>
        </w:rPr>
      </w:pPr>
      <w:r w:rsidRPr="003B4A34">
        <w:rPr>
          <w:rFonts w:ascii="Kohinoor Devanagari" w:eastAsia="Times New Roman" w:hAnsi="Kohinoor Devanagari" w:cs="Kohinoor Devanagari"/>
          <w:color w:val="0D0D0D"/>
          <w:kern w:val="0"/>
          <w:sz w:val="22"/>
          <w:szCs w:val="22"/>
          <w:lang w:eastAsia="fr-FR"/>
          <w14:ligatures w14:val="none"/>
        </w:rPr>
        <w:t>This section ensures transparency in exploration and production costs in Iraq’s extractive sector, enabling:</w:t>
      </w:r>
    </w:p>
    <w:p w14:paraId="094387F1" w14:textId="77777777" w:rsidR="00192813" w:rsidRPr="005A7388" w:rsidRDefault="00192813" w:rsidP="00192813">
      <w:pPr>
        <w:numPr>
          <w:ilvl w:val="0"/>
          <w:numId w:val="69"/>
        </w:numPr>
        <w:spacing w:before="120" w:after="120" w:line="240" w:lineRule="auto"/>
        <w:jc w:val="both"/>
        <w:rPr>
          <w:rFonts w:ascii="Kohinoor Devanagari" w:eastAsia="Times New Roman" w:hAnsi="Kohinoor Devanagari" w:cs="Kohinoor Devanagari"/>
          <w:color w:val="0D0D0D"/>
          <w:kern w:val="0"/>
          <w:sz w:val="22"/>
          <w:szCs w:val="22"/>
          <w:lang w:eastAsia="fr-FR"/>
          <w14:ligatures w14:val="none"/>
        </w:rPr>
      </w:pPr>
      <w:r w:rsidRPr="005A7388">
        <w:rPr>
          <w:rFonts w:ascii="Kohinoor Devanagari" w:eastAsia="Times New Roman" w:hAnsi="Kohinoor Devanagari" w:cs="Kohinoor Devanagari"/>
          <w:color w:val="0D0D0D"/>
          <w:kern w:val="0"/>
          <w:sz w:val="22"/>
          <w:szCs w:val="22"/>
          <w:lang w:eastAsia="fr-FR"/>
          <w14:ligatures w14:val="none"/>
        </w:rPr>
        <w:t>Public understanding of government policies and practices for monitoring company costs and cost recovery mechanisms.</w:t>
      </w:r>
    </w:p>
    <w:p w14:paraId="7EC2E53D" w14:textId="77777777" w:rsidR="00192813" w:rsidRPr="005A7388" w:rsidRDefault="00192813" w:rsidP="00192813">
      <w:pPr>
        <w:numPr>
          <w:ilvl w:val="0"/>
          <w:numId w:val="69"/>
        </w:numPr>
        <w:spacing w:before="120" w:after="120" w:line="240" w:lineRule="auto"/>
        <w:jc w:val="both"/>
        <w:rPr>
          <w:rFonts w:ascii="Kohinoor Devanagari" w:eastAsia="Times New Roman" w:hAnsi="Kohinoor Devanagari" w:cs="Kohinoor Devanagari"/>
          <w:color w:val="0D0D0D"/>
          <w:kern w:val="0"/>
          <w:sz w:val="22"/>
          <w:szCs w:val="22"/>
          <w:lang w:eastAsia="fr-FR"/>
          <w14:ligatures w14:val="none"/>
        </w:rPr>
      </w:pPr>
      <w:r w:rsidRPr="005A7388">
        <w:rPr>
          <w:rFonts w:ascii="Kohinoor Devanagari" w:eastAsia="Times New Roman" w:hAnsi="Kohinoor Devanagari" w:cs="Kohinoor Devanagari"/>
          <w:color w:val="0D0D0D"/>
          <w:kern w:val="0"/>
          <w:sz w:val="22"/>
          <w:szCs w:val="22"/>
          <w:lang w:eastAsia="fr-FR"/>
          <w14:ligatures w14:val="none"/>
        </w:rPr>
        <w:t>Disclosure of project-related costs, including recoverable and non-recoverable costs, as well as remuneration fees.</w:t>
      </w:r>
    </w:p>
    <w:p w14:paraId="15E15A50" w14:textId="77777777" w:rsidR="00192813" w:rsidRPr="003B4A34" w:rsidRDefault="00192813" w:rsidP="00192813">
      <w:pPr>
        <w:numPr>
          <w:ilvl w:val="0"/>
          <w:numId w:val="69"/>
        </w:numPr>
        <w:spacing w:before="120" w:after="120" w:line="240" w:lineRule="auto"/>
        <w:jc w:val="both"/>
        <w:rPr>
          <w:rFonts w:ascii="Kohinoor Devanagari" w:eastAsia="Times New Roman" w:hAnsi="Kohinoor Devanagari" w:cs="Kohinoor Devanagari"/>
          <w:color w:val="0D0D0D"/>
          <w:kern w:val="0"/>
          <w:sz w:val="22"/>
          <w:szCs w:val="22"/>
          <w:lang w:eastAsia="fr-FR"/>
          <w14:ligatures w14:val="none"/>
        </w:rPr>
      </w:pPr>
      <w:r w:rsidRPr="00A3573B">
        <w:rPr>
          <w:rFonts w:ascii="Kohinoor Devanagari" w:eastAsia="Times New Roman" w:hAnsi="Kohinoor Devanagari" w:cs="Kohinoor Devanagari"/>
          <w:color w:val="0D0D0D"/>
          <w:kern w:val="0"/>
          <w:sz w:val="22"/>
          <w:szCs w:val="22"/>
          <w:lang w:eastAsia="fr-FR"/>
          <w14:ligatures w14:val="none"/>
        </w:rPr>
        <w:t>Enhanced public oversight of internal service payments from the government to national oil companies (NOCs).</w:t>
      </w:r>
    </w:p>
    <w:p w14:paraId="01525A00" w14:textId="77777777" w:rsidR="00192813" w:rsidRPr="00AC6109" w:rsidRDefault="00192813" w:rsidP="00192813">
      <w:pPr>
        <w:rPr>
          <w:rFonts w:ascii="Kohinoor Devanagari" w:eastAsia="Times New Roman" w:hAnsi="Kohinoor Devanagari" w:cs="Kohinoor Devanagari"/>
          <w:b/>
          <w:bCs/>
          <w:color w:val="0D0D0D"/>
          <w:kern w:val="0"/>
          <w:sz w:val="22"/>
          <w:szCs w:val="22"/>
          <w:lang w:eastAsia="fr-FR"/>
          <w14:ligatures w14:val="none"/>
        </w:rPr>
      </w:pPr>
      <w:r w:rsidRPr="00AC6109">
        <w:rPr>
          <w:rFonts w:ascii="Kohinoor Devanagari" w:eastAsia="Times New Roman" w:hAnsi="Kohinoor Devanagari" w:cs="Kohinoor Devanagari"/>
          <w:b/>
          <w:bCs/>
          <w:color w:val="0D0D0D"/>
          <w:kern w:val="0"/>
          <w:sz w:val="22"/>
          <w:szCs w:val="22"/>
          <w:lang w:eastAsia="fr-FR"/>
          <w14:ligatures w14:val="none"/>
        </w:rPr>
        <w:t>Data Disclosure Requirements</w:t>
      </w:r>
    </w:p>
    <w:tbl>
      <w:tblPr>
        <w:tblStyle w:val="TableGrid"/>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529"/>
        <w:gridCol w:w="1670"/>
        <w:gridCol w:w="1312"/>
        <w:gridCol w:w="1499"/>
        <w:gridCol w:w="1109"/>
        <w:gridCol w:w="998"/>
        <w:gridCol w:w="1221"/>
      </w:tblGrid>
      <w:tr w:rsidR="00D67AA9" w:rsidRPr="00D67AA9" w14:paraId="1E97DF3F" w14:textId="77777777" w:rsidTr="00D67AA9">
        <w:trPr>
          <w:tblHeader/>
        </w:trPr>
        <w:tc>
          <w:tcPr>
            <w:tcW w:w="0" w:type="auto"/>
            <w:shd w:val="clear" w:color="auto" w:fill="748A96"/>
            <w:hideMark/>
          </w:tcPr>
          <w:p w14:paraId="4F53688C" w14:textId="77777777" w:rsidR="00192813" w:rsidRPr="00C52386" w:rsidRDefault="00192813"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Data Type</w:t>
            </w:r>
          </w:p>
        </w:tc>
        <w:tc>
          <w:tcPr>
            <w:tcW w:w="0" w:type="auto"/>
            <w:shd w:val="clear" w:color="auto" w:fill="748A96"/>
            <w:hideMark/>
          </w:tcPr>
          <w:p w14:paraId="4DDEA5B1" w14:textId="77777777" w:rsidR="00192813" w:rsidRPr="00C52386" w:rsidRDefault="00192813"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Description</w:t>
            </w:r>
          </w:p>
        </w:tc>
        <w:tc>
          <w:tcPr>
            <w:tcW w:w="0" w:type="auto"/>
            <w:shd w:val="clear" w:color="auto" w:fill="748A96"/>
            <w:hideMark/>
          </w:tcPr>
          <w:p w14:paraId="71874CA4" w14:textId="77777777" w:rsidR="00192813" w:rsidRPr="00C52386" w:rsidRDefault="00192813"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Responsible Entities</w:t>
            </w:r>
          </w:p>
        </w:tc>
        <w:tc>
          <w:tcPr>
            <w:tcW w:w="0" w:type="auto"/>
            <w:shd w:val="clear" w:color="auto" w:fill="748A96"/>
            <w:hideMark/>
          </w:tcPr>
          <w:p w14:paraId="6E942B82" w14:textId="77777777" w:rsidR="00192813" w:rsidRPr="00C52386" w:rsidRDefault="00192813"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Disaggregation</w:t>
            </w:r>
          </w:p>
        </w:tc>
        <w:tc>
          <w:tcPr>
            <w:tcW w:w="0" w:type="auto"/>
            <w:shd w:val="clear" w:color="auto" w:fill="748A96"/>
            <w:hideMark/>
          </w:tcPr>
          <w:p w14:paraId="455604D9" w14:textId="77777777" w:rsidR="00192813" w:rsidRPr="00C52386" w:rsidRDefault="00192813"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Frequency</w:t>
            </w:r>
          </w:p>
        </w:tc>
        <w:tc>
          <w:tcPr>
            <w:tcW w:w="0" w:type="auto"/>
            <w:shd w:val="clear" w:color="auto" w:fill="748A96"/>
            <w:hideMark/>
          </w:tcPr>
          <w:p w14:paraId="1004E4F5" w14:textId="77777777" w:rsidR="00192813" w:rsidRPr="00C52386" w:rsidRDefault="00192813"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Format</w:t>
            </w:r>
          </w:p>
        </w:tc>
        <w:tc>
          <w:tcPr>
            <w:tcW w:w="0" w:type="auto"/>
            <w:shd w:val="clear" w:color="auto" w:fill="748A96"/>
            <w:hideMark/>
          </w:tcPr>
          <w:p w14:paraId="26D0429A" w14:textId="77777777" w:rsidR="00192813" w:rsidRPr="00C52386" w:rsidRDefault="00192813"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Publication Channels</w:t>
            </w:r>
          </w:p>
        </w:tc>
      </w:tr>
      <w:tr w:rsidR="00192813" w:rsidRPr="00AC6109" w14:paraId="69A7CCE1" w14:textId="77777777" w:rsidTr="0092022E">
        <w:tc>
          <w:tcPr>
            <w:tcW w:w="0" w:type="auto"/>
            <w:hideMark/>
          </w:tcPr>
          <w:p w14:paraId="435C2A6F"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Government Policies &amp; Practices for Cost Monitoring</w:t>
            </w:r>
          </w:p>
        </w:tc>
        <w:tc>
          <w:tcPr>
            <w:tcW w:w="0" w:type="auto"/>
            <w:hideMark/>
          </w:tcPr>
          <w:p w14:paraId="41D4C728"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Disclosure of laws, regulations, and procedures for monitoring project costs.</w:t>
            </w:r>
          </w:p>
        </w:tc>
        <w:tc>
          <w:tcPr>
            <w:tcW w:w="0" w:type="auto"/>
            <w:hideMark/>
          </w:tcPr>
          <w:p w14:paraId="1AE9136A"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Ministry of Oil, Ministry of Finance</w:t>
            </w:r>
          </w:p>
        </w:tc>
        <w:tc>
          <w:tcPr>
            <w:tcW w:w="0" w:type="auto"/>
            <w:hideMark/>
          </w:tcPr>
          <w:p w14:paraId="7A9A80BA"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By regulation, contract type</w:t>
            </w:r>
          </w:p>
        </w:tc>
        <w:tc>
          <w:tcPr>
            <w:tcW w:w="0" w:type="auto"/>
            <w:hideMark/>
          </w:tcPr>
          <w:p w14:paraId="14495AC1"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Annually &amp; Updates</w:t>
            </w:r>
          </w:p>
        </w:tc>
        <w:tc>
          <w:tcPr>
            <w:tcW w:w="0" w:type="auto"/>
            <w:hideMark/>
          </w:tcPr>
          <w:p w14:paraId="5D2B6944"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7E6430">
              <w:rPr>
                <w:rFonts w:ascii="Calibri" w:eastAsia="Times New Roman" w:hAnsi="Calibri" w:cs="Calibri"/>
                <w:b/>
                <w:bCs/>
                <w:color w:val="0D0D0D"/>
                <w:kern w:val="0"/>
                <w:sz w:val="20"/>
                <w:szCs w:val="20"/>
                <w:lang w:eastAsia="fr-FR"/>
                <w14:ligatures w14:val="none"/>
              </w:rPr>
              <w:t>HTML, CSV</w:t>
            </w:r>
            <w:r w:rsidRPr="007E6430">
              <w:rPr>
                <w:rFonts w:ascii="Calibri" w:eastAsia="Times New Roman" w:hAnsi="Calibri" w:cs="Calibri"/>
                <w:color w:val="0D0D0D"/>
                <w:kern w:val="0"/>
                <w:sz w:val="20"/>
                <w:szCs w:val="20"/>
                <w:lang w:eastAsia="fr-FR"/>
                <w14:ligatures w14:val="none"/>
              </w:rPr>
              <w:t xml:space="preserve"> (PDF optional)</w:t>
            </w:r>
          </w:p>
        </w:tc>
        <w:tc>
          <w:tcPr>
            <w:tcW w:w="0" w:type="auto"/>
            <w:hideMark/>
          </w:tcPr>
          <w:p w14:paraId="657236A9" w14:textId="6FDF2FA9" w:rsidR="00192813" w:rsidRPr="00AC6109" w:rsidRDefault="008C2905" w:rsidP="0092022E">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192813" w:rsidRPr="00AC6109">
              <w:rPr>
                <w:rFonts w:ascii="Calibri" w:eastAsia="Times New Roman" w:hAnsi="Calibri" w:cs="Calibri"/>
                <w:color w:val="0D0D0D"/>
                <w:kern w:val="0"/>
                <w:sz w:val="20"/>
                <w:szCs w:val="20"/>
                <w:lang w:eastAsia="fr-FR"/>
                <w14:ligatures w14:val="none"/>
              </w:rPr>
              <w:t xml:space="preserve"> Iraq portal, </w:t>
            </w:r>
            <w:proofErr w:type="spellStart"/>
            <w:r w:rsidR="00192813">
              <w:rPr>
                <w:rFonts w:ascii="Calibri" w:eastAsia="Times New Roman" w:hAnsi="Calibri" w:cs="Calibri"/>
                <w:color w:val="0D0D0D"/>
                <w:kern w:val="0"/>
                <w:sz w:val="20"/>
                <w:szCs w:val="20"/>
                <w:lang w:eastAsia="fr-FR"/>
                <w14:ligatures w14:val="none"/>
              </w:rPr>
              <w:t>MoO</w:t>
            </w:r>
            <w:proofErr w:type="spellEnd"/>
            <w:r w:rsidR="00192813" w:rsidRPr="00AC6109">
              <w:rPr>
                <w:rFonts w:ascii="Calibri" w:eastAsia="Times New Roman" w:hAnsi="Calibri" w:cs="Calibri"/>
                <w:color w:val="0D0D0D"/>
                <w:kern w:val="0"/>
                <w:sz w:val="20"/>
                <w:szCs w:val="20"/>
                <w:lang w:eastAsia="fr-FR"/>
                <w14:ligatures w14:val="none"/>
              </w:rPr>
              <w:t xml:space="preserve"> website</w:t>
            </w:r>
          </w:p>
        </w:tc>
      </w:tr>
      <w:tr w:rsidR="00192813" w:rsidRPr="00AC6109" w14:paraId="05288353" w14:textId="77777777" w:rsidTr="0092022E">
        <w:tc>
          <w:tcPr>
            <w:tcW w:w="0" w:type="auto"/>
            <w:hideMark/>
          </w:tcPr>
          <w:p w14:paraId="656BCB9F"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Final Cost &amp; Tax Audit Reports</w:t>
            </w:r>
          </w:p>
        </w:tc>
        <w:tc>
          <w:tcPr>
            <w:tcW w:w="0" w:type="auto"/>
            <w:hideMark/>
          </w:tcPr>
          <w:p w14:paraId="736F8493"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Summaries of government audits on project costs, including non-recoverable expenses.</w:t>
            </w:r>
          </w:p>
        </w:tc>
        <w:tc>
          <w:tcPr>
            <w:tcW w:w="0" w:type="auto"/>
            <w:hideMark/>
          </w:tcPr>
          <w:p w14:paraId="183DF83C"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Ministry of Oil, Federal Board of Supreme Audit</w:t>
            </w:r>
          </w:p>
        </w:tc>
        <w:tc>
          <w:tcPr>
            <w:tcW w:w="0" w:type="auto"/>
            <w:hideMark/>
          </w:tcPr>
          <w:p w14:paraId="1C68E0F4"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By project, company</w:t>
            </w:r>
          </w:p>
        </w:tc>
        <w:tc>
          <w:tcPr>
            <w:tcW w:w="0" w:type="auto"/>
            <w:hideMark/>
          </w:tcPr>
          <w:p w14:paraId="7E8AAB3B"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Annually</w:t>
            </w:r>
          </w:p>
        </w:tc>
        <w:tc>
          <w:tcPr>
            <w:tcW w:w="0" w:type="auto"/>
            <w:hideMark/>
          </w:tcPr>
          <w:p w14:paraId="28D7F849"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B34CFD">
              <w:rPr>
                <w:rFonts w:ascii="Calibri" w:eastAsia="Times New Roman" w:hAnsi="Calibri" w:cs="Calibri"/>
                <w:b/>
                <w:bCs/>
                <w:color w:val="0D0D0D"/>
                <w:kern w:val="0"/>
                <w:sz w:val="20"/>
                <w:szCs w:val="20"/>
                <w:lang w:eastAsia="fr-FR"/>
                <w14:ligatures w14:val="none"/>
              </w:rPr>
              <w:t>CSV, HTML</w:t>
            </w:r>
            <w:r w:rsidRPr="00B34CFD">
              <w:rPr>
                <w:rFonts w:ascii="Calibri" w:eastAsia="Times New Roman" w:hAnsi="Calibri" w:cs="Calibri"/>
                <w:color w:val="0D0D0D"/>
                <w:kern w:val="0"/>
                <w:sz w:val="20"/>
                <w:szCs w:val="20"/>
                <w:lang w:eastAsia="fr-FR"/>
                <w14:ligatures w14:val="none"/>
              </w:rPr>
              <w:t xml:space="preserve"> (PDF optional)</w:t>
            </w:r>
          </w:p>
        </w:tc>
        <w:tc>
          <w:tcPr>
            <w:tcW w:w="0" w:type="auto"/>
            <w:hideMark/>
          </w:tcPr>
          <w:p w14:paraId="005CDA1F" w14:textId="52E10977" w:rsidR="00192813" w:rsidRPr="00AC6109" w:rsidRDefault="008C2905" w:rsidP="0092022E">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192813" w:rsidRPr="00B3610D">
              <w:rPr>
                <w:rFonts w:ascii="Calibri" w:eastAsia="Times New Roman" w:hAnsi="Calibri" w:cs="Calibri"/>
                <w:color w:val="0D0D0D"/>
                <w:kern w:val="0"/>
                <w:sz w:val="20"/>
                <w:szCs w:val="20"/>
                <w:lang w:eastAsia="fr-FR"/>
                <w14:ligatures w14:val="none"/>
              </w:rPr>
              <w:t xml:space="preserve"> Iraq portal, </w:t>
            </w:r>
            <w:proofErr w:type="spellStart"/>
            <w:r w:rsidR="00192813" w:rsidRPr="00B3610D">
              <w:rPr>
                <w:rFonts w:ascii="Calibri" w:eastAsia="Times New Roman" w:hAnsi="Calibri" w:cs="Calibri"/>
                <w:color w:val="0D0D0D"/>
                <w:kern w:val="0"/>
                <w:sz w:val="20"/>
                <w:szCs w:val="20"/>
                <w:lang w:eastAsia="fr-FR"/>
                <w14:ligatures w14:val="none"/>
              </w:rPr>
              <w:t>MoO</w:t>
            </w:r>
            <w:proofErr w:type="spellEnd"/>
            <w:r w:rsidR="00192813" w:rsidRPr="00B3610D">
              <w:rPr>
                <w:rFonts w:ascii="Calibri" w:eastAsia="Times New Roman" w:hAnsi="Calibri" w:cs="Calibri"/>
                <w:color w:val="0D0D0D"/>
                <w:kern w:val="0"/>
                <w:sz w:val="20"/>
                <w:szCs w:val="20"/>
                <w:lang w:eastAsia="fr-FR"/>
                <w14:ligatures w14:val="none"/>
              </w:rPr>
              <w:t xml:space="preserve"> website</w:t>
            </w:r>
          </w:p>
        </w:tc>
      </w:tr>
      <w:tr w:rsidR="00192813" w:rsidRPr="00AC6109" w14:paraId="04F0D930" w14:textId="77777777" w:rsidTr="0092022E">
        <w:tc>
          <w:tcPr>
            <w:tcW w:w="0" w:type="auto"/>
            <w:hideMark/>
          </w:tcPr>
          <w:p w14:paraId="7E42B322"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Declared Project Costs</w:t>
            </w:r>
          </w:p>
        </w:tc>
        <w:tc>
          <w:tcPr>
            <w:tcW w:w="0" w:type="auto"/>
            <w:hideMark/>
          </w:tcPr>
          <w:p w14:paraId="5FDF1F77"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Total project costs reported by extractive companies, including operating and capital expenditures, cost amortization, and depreciation.</w:t>
            </w:r>
          </w:p>
        </w:tc>
        <w:tc>
          <w:tcPr>
            <w:tcW w:w="0" w:type="auto"/>
            <w:hideMark/>
          </w:tcPr>
          <w:p w14:paraId="0DC6F286"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IOCs, SOEs, NOCs, Ministry of Oil</w:t>
            </w:r>
          </w:p>
        </w:tc>
        <w:tc>
          <w:tcPr>
            <w:tcW w:w="0" w:type="auto"/>
            <w:hideMark/>
          </w:tcPr>
          <w:p w14:paraId="2452AD70"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By company, project, cost type</w:t>
            </w:r>
          </w:p>
        </w:tc>
        <w:tc>
          <w:tcPr>
            <w:tcW w:w="0" w:type="auto"/>
            <w:hideMark/>
          </w:tcPr>
          <w:p w14:paraId="12D4625B"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Annually</w:t>
            </w:r>
          </w:p>
        </w:tc>
        <w:tc>
          <w:tcPr>
            <w:tcW w:w="0" w:type="auto"/>
            <w:hideMark/>
          </w:tcPr>
          <w:p w14:paraId="78CDE72A"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B34CFD">
              <w:rPr>
                <w:rFonts w:ascii="Calibri" w:eastAsia="Times New Roman" w:hAnsi="Calibri" w:cs="Calibri"/>
                <w:color w:val="0D0D0D"/>
                <w:kern w:val="0"/>
                <w:sz w:val="20"/>
                <w:szCs w:val="20"/>
                <w:lang w:eastAsia="fr-FR"/>
                <w14:ligatures w14:val="none"/>
              </w:rPr>
              <w:t>CSV, JSON</w:t>
            </w:r>
          </w:p>
        </w:tc>
        <w:tc>
          <w:tcPr>
            <w:tcW w:w="0" w:type="auto"/>
            <w:hideMark/>
          </w:tcPr>
          <w:p w14:paraId="0E2A399C" w14:textId="74529C5E" w:rsidR="00192813" w:rsidRPr="00AC6109" w:rsidRDefault="008C2905" w:rsidP="0092022E">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192813" w:rsidRPr="00B3610D">
              <w:rPr>
                <w:rFonts w:ascii="Calibri" w:eastAsia="Times New Roman" w:hAnsi="Calibri" w:cs="Calibri"/>
                <w:color w:val="0D0D0D"/>
                <w:kern w:val="0"/>
                <w:sz w:val="20"/>
                <w:szCs w:val="20"/>
                <w:lang w:eastAsia="fr-FR"/>
                <w14:ligatures w14:val="none"/>
              </w:rPr>
              <w:t xml:space="preserve"> Iraq portal, </w:t>
            </w:r>
            <w:proofErr w:type="spellStart"/>
            <w:r w:rsidR="00192813" w:rsidRPr="00B3610D">
              <w:rPr>
                <w:rFonts w:ascii="Calibri" w:eastAsia="Times New Roman" w:hAnsi="Calibri" w:cs="Calibri"/>
                <w:color w:val="0D0D0D"/>
                <w:kern w:val="0"/>
                <w:sz w:val="20"/>
                <w:szCs w:val="20"/>
                <w:lang w:eastAsia="fr-FR"/>
                <w14:ligatures w14:val="none"/>
              </w:rPr>
              <w:t>MoO</w:t>
            </w:r>
            <w:proofErr w:type="spellEnd"/>
            <w:r w:rsidR="00192813" w:rsidRPr="00B3610D">
              <w:rPr>
                <w:rFonts w:ascii="Calibri" w:eastAsia="Times New Roman" w:hAnsi="Calibri" w:cs="Calibri"/>
                <w:color w:val="0D0D0D"/>
                <w:kern w:val="0"/>
                <w:sz w:val="20"/>
                <w:szCs w:val="20"/>
                <w:lang w:eastAsia="fr-FR"/>
                <w14:ligatures w14:val="none"/>
              </w:rPr>
              <w:t xml:space="preserve"> website</w:t>
            </w:r>
          </w:p>
        </w:tc>
      </w:tr>
      <w:tr w:rsidR="00192813" w:rsidRPr="00AC6109" w14:paraId="26511CCC" w14:textId="77777777" w:rsidTr="0092022E">
        <w:tc>
          <w:tcPr>
            <w:tcW w:w="0" w:type="auto"/>
            <w:hideMark/>
          </w:tcPr>
          <w:p w14:paraId="26C8ACCD"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Breakdown of Non-Recoverable Costs</w:t>
            </w:r>
          </w:p>
        </w:tc>
        <w:tc>
          <w:tcPr>
            <w:tcW w:w="0" w:type="auto"/>
            <w:hideMark/>
          </w:tcPr>
          <w:p w14:paraId="7B9A0E4F"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Expenses deemed ineligible for cost recovery under Iraq’s service contracts, including rejected claims from cost audits.</w:t>
            </w:r>
          </w:p>
        </w:tc>
        <w:tc>
          <w:tcPr>
            <w:tcW w:w="0" w:type="auto"/>
            <w:hideMark/>
          </w:tcPr>
          <w:p w14:paraId="6023E4BC"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Ministry of Oil, Federal Board of Supreme Audit</w:t>
            </w:r>
          </w:p>
        </w:tc>
        <w:tc>
          <w:tcPr>
            <w:tcW w:w="0" w:type="auto"/>
            <w:hideMark/>
          </w:tcPr>
          <w:p w14:paraId="5C0AD9D6"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By company, project, cost type</w:t>
            </w:r>
          </w:p>
        </w:tc>
        <w:tc>
          <w:tcPr>
            <w:tcW w:w="0" w:type="auto"/>
            <w:hideMark/>
          </w:tcPr>
          <w:p w14:paraId="2753C2E8"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Quarterly &amp; Annually</w:t>
            </w:r>
          </w:p>
        </w:tc>
        <w:tc>
          <w:tcPr>
            <w:tcW w:w="0" w:type="auto"/>
            <w:hideMark/>
          </w:tcPr>
          <w:p w14:paraId="536901CA"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E131B5">
              <w:rPr>
                <w:rFonts w:ascii="Calibri" w:eastAsia="Times New Roman" w:hAnsi="Calibri" w:cs="Calibri"/>
                <w:color w:val="0D0D0D"/>
                <w:kern w:val="0"/>
                <w:sz w:val="20"/>
                <w:szCs w:val="20"/>
                <w:lang w:eastAsia="fr-FR"/>
                <w14:ligatures w14:val="none"/>
              </w:rPr>
              <w:t>CSV, HTML</w:t>
            </w:r>
          </w:p>
        </w:tc>
        <w:tc>
          <w:tcPr>
            <w:tcW w:w="0" w:type="auto"/>
            <w:hideMark/>
          </w:tcPr>
          <w:p w14:paraId="7E769578" w14:textId="2CC844B1" w:rsidR="00192813" w:rsidRPr="00AC6109" w:rsidRDefault="008C2905" w:rsidP="0092022E">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192813" w:rsidRPr="00AC6109">
              <w:rPr>
                <w:rFonts w:ascii="Calibri" w:eastAsia="Times New Roman" w:hAnsi="Calibri" w:cs="Calibri"/>
                <w:color w:val="0D0D0D"/>
                <w:kern w:val="0"/>
                <w:sz w:val="20"/>
                <w:szCs w:val="20"/>
                <w:lang w:eastAsia="fr-FR"/>
                <w14:ligatures w14:val="none"/>
              </w:rPr>
              <w:t xml:space="preserve"> Iraq portal, </w:t>
            </w:r>
            <w:proofErr w:type="spellStart"/>
            <w:r w:rsidR="00192813">
              <w:rPr>
                <w:rFonts w:ascii="Calibri" w:eastAsia="Times New Roman" w:hAnsi="Calibri" w:cs="Calibri"/>
                <w:color w:val="0D0D0D"/>
                <w:kern w:val="0"/>
                <w:sz w:val="20"/>
                <w:szCs w:val="20"/>
                <w:lang w:eastAsia="fr-FR"/>
                <w14:ligatures w14:val="none"/>
              </w:rPr>
              <w:t>MoO</w:t>
            </w:r>
            <w:proofErr w:type="spellEnd"/>
            <w:r w:rsidR="00192813" w:rsidRPr="00AC6109">
              <w:rPr>
                <w:rFonts w:ascii="Calibri" w:eastAsia="Times New Roman" w:hAnsi="Calibri" w:cs="Calibri"/>
                <w:color w:val="0D0D0D"/>
                <w:kern w:val="0"/>
                <w:sz w:val="20"/>
                <w:szCs w:val="20"/>
                <w:lang w:eastAsia="fr-FR"/>
                <w14:ligatures w14:val="none"/>
              </w:rPr>
              <w:t xml:space="preserve"> website</w:t>
            </w:r>
          </w:p>
        </w:tc>
      </w:tr>
      <w:tr w:rsidR="00192813" w:rsidRPr="00AC6109" w14:paraId="7955ADA4" w14:textId="77777777" w:rsidTr="0092022E">
        <w:tc>
          <w:tcPr>
            <w:tcW w:w="0" w:type="auto"/>
            <w:hideMark/>
          </w:tcPr>
          <w:p w14:paraId="10CA8FDC"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Cost Recovery and Remuneration Fee Payments</w:t>
            </w:r>
          </w:p>
        </w:tc>
        <w:tc>
          <w:tcPr>
            <w:tcW w:w="0" w:type="auto"/>
            <w:hideMark/>
          </w:tcPr>
          <w:p w14:paraId="45FDA4EB"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Payments made to IOCs and NOCs for cost recovery and remuneration fees, based on approved costs and R-factor calculations.</w:t>
            </w:r>
          </w:p>
        </w:tc>
        <w:tc>
          <w:tcPr>
            <w:tcW w:w="0" w:type="auto"/>
            <w:hideMark/>
          </w:tcPr>
          <w:p w14:paraId="2EAC957A"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 xml:space="preserve">MoF, </w:t>
            </w:r>
            <w:r w:rsidRPr="00AC6109">
              <w:rPr>
                <w:rFonts w:ascii="Calibri" w:eastAsia="Times New Roman" w:hAnsi="Calibri" w:cs="Calibri"/>
                <w:color w:val="0D0D0D"/>
                <w:kern w:val="0"/>
                <w:sz w:val="20"/>
                <w:szCs w:val="20"/>
                <w:lang w:eastAsia="fr-FR"/>
                <w14:ligatures w14:val="none"/>
              </w:rPr>
              <w:t>SOMO, Ministry of Oil</w:t>
            </w:r>
          </w:p>
        </w:tc>
        <w:tc>
          <w:tcPr>
            <w:tcW w:w="0" w:type="auto"/>
            <w:hideMark/>
          </w:tcPr>
          <w:p w14:paraId="2DEF3573"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By company, project</w:t>
            </w:r>
          </w:p>
        </w:tc>
        <w:tc>
          <w:tcPr>
            <w:tcW w:w="0" w:type="auto"/>
            <w:hideMark/>
          </w:tcPr>
          <w:p w14:paraId="4CE2453C"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Quarterly &amp; Annually</w:t>
            </w:r>
          </w:p>
        </w:tc>
        <w:tc>
          <w:tcPr>
            <w:tcW w:w="0" w:type="auto"/>
            <w:hideMark/>
          </w:tcPr>
          <w:p w14:paraId="1F86DB14"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E131B5">
              <w:rPr>
                <w:rFonts w:ascii="Calibri" w:eastAsia="Times New Roman" w:hAnsi="Calibri" w:cs="Calibri"/>
                <w:b/>
                <w:bCs/>
                <w:color w:val="0D0D0D"/>
                <w:kern w:val="0"/>
                <w:sz w:val="20"/>
                <w:szCs w:val="20"/>
                <w:lang w:eastAsia="fr-FR"/>
                <w14:ligatures w14:val="none"/>
              </w:rPr>
              <w:t>CSV, HTML</w:t>
            </w:r>
            <w:r w:rsidRPr="00E131B5">
              <w:rPr>
                <w:rFonts w:ascii="Calibri" w:eastAsia="Times New Roman" w:hAnsi="Calibri" w:cs="Calibri"/>
                <w:color w:val="0D0D0D"/>
                <w:kern w:val="0"/>
                <w:sz w:val="20"/>
                <w:szCs w:val="20"/>
                <w:lang w:eastAsia="fr-FR"/>
                <w14:ligatures w14:val="none"/>
              </w:rPr>
              <w:t xml:space="preserve"> </w:t>
            </w:r>
          </w:p>
        </w:tc>
        <w:tc>
          <w:tcPr>
            <w:tcW w:w="0" w:type="auto"/>
            <w:hideMark/>
          </w:tcPr>
          <w:p w14:paraId="138F3E4C" w14:textId="0D45BAF5" w:rsidR="00192813" w:rsidRPr="00AC6109" w:rsidRDefault="008C2905" w:rsidP="0092022E">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192813" w:rsidRPr="00AC6109">
              <w:rPr>
                <w:rFonts w:ascii="Calibri" w:eastAsia="Times New Roman" w:hAnsi="Calibri" w:cs="Calibri"/>
                <w:color w:val="0D0D0D"/>
                <w:kern w:val="0"/>
                <w:sz w:val="20"/>
                <w:szCs w:val="20"/>
                <w:lang w:eastAsia="fr-FR"/>
                <w14:ligatures w14:val="none"/>
              </w:rPr>
              <w:t xml:space="preserve"> Iraq portal</w:t>
            </w:r>
            <w:r w:rsidR="00192813">
              <w:rPr>
                <w:rFonts w:ascii="Calibri" w:eastAsia="Times New Roman" w:hAnsi="Calibri" w:cs="Calibri"/>
                <w:color w:val="0D0D0D"/>
                <w:kern w:val="0"/>
                <w:sz w:val="20"/>
                <w:szCs w:val="20"/>
                <w:lang w:eastAsia="fr-FR"/>
                <w14:ligatures w14:val="none"/>
              </w:rPr>
              <w:t xml:space="preserve">, </w:t>
            </w:r>
            <w:proofErr w:type="spellStart"/>
            <w:r w:rsidR="00192813">
              <w:rPr>
                <w:rFonts w:ascii="Calibri" w:eastAsia="Times New Roman" w:hAnsi="Calibri" w:cs="Calibri"/>
                <w:color w:val="0D0D0D"/>
                <w:kern w:val="0"/>
                <w:sz w:val="20"/>
                <w:szCs w:val="20"/>
                <w:lang w:eastAsia="fr-FR"/>
                <w14:ligatures w14:val="none"/>
              </w:rPr>
              <w:t>MoO</w:t>
            </w:r>
            <w:proofErr w:type="spellEnd"/>
            <w:r w:rsidR="00192813">
              <w:rPr>
                <w:rFonts w:ascii="Calibri" w:eastAsia="Times New Roman" w:hAnsi="Calibri" w:cs="Calibri"/>
                <w:color w:val="0D0D0D"/>
                <w:kern w:val="0"/>
                <w:sz w:val="20"/>
                <w:szCs w:val="20"/>
                <w:lang w:eastAsia="fr-FR"/>
                <w14:ligatures w14:val="none"/>
              </w:rPr>
              <w:t xml:space="preserve"> /MoF website</w:t>
            </w:r>
          </w:p>
        </w:tc>
      </w:tr>
      <w:tr w:rsidR="00192813" w:rsidRPr="00AC6109" w14:paraId="46A690F0" w14:textId="77777777" w:rsidTr="0092022E">
        <w:tc>
          <w:tcPr>
            <w:tcW w:w="0" w:type="auto"/>
            <w:hideMark/>
          </w:tcPr>
          <w:p w14:paraId="66F36A15"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Government Transfers to NOCs (Including Internal Service Payments)</w:t>
            </w:r>
          </w:p>
        </w:tc>
        <w:tc>
          <w:tcPr>
            <w:tcW w:w="0" w:type="auto"/>
            <w:hideMark/>
          </w:tcPr>
          <w:p w14:paraId="23398B10"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Transfers from the Ministry of Finance via SOMO to NOCs to cover production costs, including internal service payments.</w:t>
            </w:r>
          </w:p>
        </w:tc>
        <w:tc>
          <w:tcPr>
            <w:tcW w:w="0" w:type="auto"/>
            <w:hideMark/>
          </w:tcPr>
          <w:p w14:paraId="719899B6"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 xml:space="preserve">MoF, </w:t>
            </w:r>
            <w:r w:rsidRPr="00AC6109">
              <w:rPr>
                <w:rFonts w:ascii="Calibri" w:eastAsia="Times New Roman" w:hAnsi="Calibri" w:cs="Calibri"/>
                <w:color w:val="0D0D0D"/>
                <w:kern w:val="0"/>
                <w:sz w:val="20"/>
                <w:szCs w:val="20"/>
                <w:lang w:eastAsia="fr-FR"/>
                <w14:ligatures w14:val="none"/>
              </w:rPr>
              <w:t>SOMO, Ministry of Oil, NOCs</w:t>
            </w:r>
          </w:p>
        </w:tc>
        <w:tc>
          <w:tcPr>
            <w:tcW w:w="0" w:type="auto"/>
            <w:hideMark/>
          </w:tcPr>
          <w:p w14:paraId="064DBE1A"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By company, project</w:t>
            </w:r>
          </w:p>
        </w:tc>
        <w:tc>
          <w:tcPr>
            <w:tcW w:w="0" w:type="auto"/>
            <w:hideMark/>
          </w:tcPr>
          <w:p w14:paraId="6F829CF8"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Quarterly &amp; Annually</w:t>
            </w:r>
          </w:p>
        </w:tc>
        <w:tc>
          <w:tcPr>
            <w:tcW w:w="0" w:type="auto"/>
            <w:hideMark/>
          </w:tcPr>
          <w:p w14:paraId="00CCD8C6" w14:textId="77777777" w:rsidR="00192813" w:rsidRPr="00AC6109" w:rsidRDefault="00192813" w:rsidP="0092022E">
            <w:pPr>
              <w:spacing w:after="40"/>
              <w:rPr>
                <w:rFonts w:ascii="Calibri" w:eastAsia="Times New Roman" w:hAnsi="Calibri" w:cs="Calibri"/>
                <w:color w:val="0D0D0D"/>
                <w:kern w:val="0"/>
                <w:sz w:val="20"/>
                <w:szCs w:val="20"/>
                <w:lang w:eastAsia="fr-FR"/>
                <w14:ligatures w14:val="none"/>
              </w:rPr>
            </w:pPr>
            <w:r w:rsidRPr="00AD30F1">
              <w:rPr>
                <w:rFonts w:ascii="Calibri" w:eastAsia="Times New Roman" w:hAnsi="Calibri" w:cs="Calibri"/>
                <w:color w:val="0D0D0D"/>
                <w:kern w:val="0"/>
                <w:sz w:val="20"/>
                <w:szCs w:val="20"/>
                <w:lang w:eastAsia="fr-FR"/>
                <w14:ligatures w14:val="none"/>
              </w:rPr>
              <w:t>CSV, HTML</w:t>
            </w:r>
          </w:p>
        </w:tc>
        <w:tc>
          <w:tcPr>
            <w:tcW w:w="0" w:type="auto"/>
            <w:hideMark/>
          </w:tcPr>
          <w:p w14:paraId="4DA4CF03" w14:textId="668DC135" w:rsidR="00192813" w:rsidRPr="00AC6109" w:rsidRDefault="008C2905" w:rsidP="0092022E">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Pr="00AC6109">
              <w:rPr>
                <w:rFonts w:ascii="Calibri" w:eastAsia="Times New Roman" w:hAnsi="Calibri" w:cs="Calibri"/>
                <w:color w:val="0D0D0D"/>
                <w:kern w:val="0"/>
                <w:sz w:val="20"/>
                <w:szCs w:val="20"/>
                <w:lang w:eastAsia="fr-FR"/>
                <w14:ligatures w14:val="none"/>
              </w:rPr>
              <w:t xml:space="preserve"> </w:t>
            </w:r>
            <w:r w:rsidR="00192813" w:rsidRPr="00AC6109">
              <w:rPr>
                <w:rFonts w:ascii="Calibri" w:eastAsia="Times New Roman" w:hAnsi="Calibri" w:cs="Calibri"/>
                <w:color w:val="0D0D0D"/>
                <w:kern w:val="0"/>
                <w:sz w:val="20"/>
                <w:szCs w:val="20"/>
                <w:lang w:eastAsia="fr-FR"/>
                <w14:ligatures w14:val="none"/>
              </w:rPr>
              <w:t>Iraq portal</w:t>
            </w:r>
            <w:r w:rsidR="00192813">
              <w:rPr>
                <w:rFonts w:ascii="Calibri" w:eastAsia="Times New Roman" w:hAnsi="Calibri" w:cs="Calibri"/>
                <w:color w:val="0D0D0D"/>
                <w:kern w:val="0"/>
                <w:sz w:val="20"/>
                <w:szCs w:val="20"/>
                <w:lang w:eastAsia="fr-FR"/>
                <w14:ligatures w14:val="none"/>
              </w:rPr>
              <w:t xml:space="preserve">, </w:t>
            </w:r>
            <w:proofErr w:type="spellStart"/>
            <w:r w:rsidR="00192813">
              <w:rPr>
                <w:rFonts w:ascii="Calibri" w:eastAsia="Times New Roman" w:hAnsi="Calibri" w:cs="Calibri"/>
                <w:color w:val="0D0D0D"/>
                <w:kern w:val="0"/>
                <w:sz w:val="20"/>
                <w:szCs w:val="20"/>
                <w:lang w:eastAsia="fr-FR"/>
                <w14:ligatures w14:val="none"/>
              </w:rPr>
              <w:t>MoO</w:t>
            </w:r>
            <w:proofErr w:type="spellEnd"/>
            <w:r w:rsidR="00192813">
              <w:rPr>
                <w:rFonts w:ascii="Calibri" w:eastAsia="Times New Roman" w:hAnsi="Calibri" w:cs="Calibri"/>
                <w:color w:val="0D0D0D"/>
                <w:kern w:val="0"/>
                <w:sz w:val="20"/>
                <w:szCs w:val="20"/>
                <w:lang w:eastAsia="fr-FR"/>
                <w14:ligatures w14:val="none"/>
              </w:rPr>
              <w:t xml:space="preserve"> /MoF website</w:t>
            </w:r>
          </w:p>
        </w:tc>
      </w:tr>
    </w:tbl>
    <w:p w14:paraId="40A6E3D3" w14:textId="50AD1E50" w:rsidR="00192813" w:rsidRDefault="00F86E35" w:rsidP="00F86E35">
      <w:pPr>
        <w:pStyle w:val="Heading4"/>
        <w:spacing w:before="120" w:after="120"/>
        <w:rPr>
          <w:rFonts w:ascii="Kohinoor Devanagari" w:hAnsi="Kohinoor Devanagari" w:cs="Kohinoor Devanagari"/>
          <w:b/>
          <w:bCs/>
          <w:sz w:val="22"/>
          <w:szCs w:val="22"/>
        </w:rPr>
      </w:pPr>
      <w:r w:rsidRPr="00C52386">
        <w:rPr>
          <w:rFonts w:ascii="Kohinoor Devanagari" w:hAnsi="Kohinoor Devanagari" w:cs="Kohinoor Devanagari"/>
          <w:b/>
          <w:bCs/>
          <w:sz w:val="22"/>
          <w:szCs w:val="22"/>
        </w:rPr>
        <w:t>Module 8: Revenue Management</w:t>
      </w:r>
    </w:p>
    <w:p w14:paraId="6B932A90" w14:textId="128C6B26" w:rsidR="009E56C9" w:rsidRPr="00A3573B" w:rsidRDefault="005F017B" w:rsidP="009E56C9">
      <w:pPr>
        <w:pStyle w:val="Heading4"/>
        <w:spacing w:before="120" w:after="120"/>
        <w:rPr>
          <w:rFonts w:ascii="Kohinoor Devanagari" w:hAnsi="Kohinoor Devanagari" w:cs="Kohinoor Devanagari"/>
          <w:b/>
          <w:bCs/>
          <w:sz w:val="22"/>
          <w:szCs w:val="22"/>
        </w:rPr>
      </w:pPr>
      <w:r>
        <w:rPr>
          <w:rFonts w:ascii="Kohinoor Devanagari" w:hAnsi="Kohinoor Devanagari" w:cs="Kohinoor Devanagari"/>
          <w:b/>
          <w:bCs/>
          <w:sz w:val="22"/>
          <w:szCs w:val="22"/>
        </w:rPr>
        <w:t xml:space="preserve">8.1. </w:t>
      </w:r>
      <w:r w:rsidR="009E56C9" w:rsidRPr="00A3573B">
        <w:rPr>
          <w:rFonts w:ascii="Kohinoor Devanagari" w:hAnsi="Kohinoor Devanagari" w:cs="Kohinoor Devanagari"/>
          <w:b/>
          <w:bCs/>
          <w:sz w:val="22"/>
          <w:szCs w:val="22"/>
        </w:rPr>
        <w:t xml:space="preserve">Revenue Distribution and Management (Requirements 5.1 &amp; </w:t>
      </w:r>
      <w:r w:rsidR="003B4168" w:rsidRPr="00A3573B">
        <w:rPr>
          <w:rFonts w:ascii="Kohinoor Devanagari" w:hAnsi="Kohinoor Devanagari" w:cs="Kohinoor Devanagari"/>
          <w:b/>
          <w:bCs/>
          <w:sz w:val="22"/>
          <w:szCs w:val="22"/>
        </w:rPr>
        <w:t>5.3)</w:t>
      </w:r>
    </w:p>
    <w:p w14:paraId="07D4C43C" w14:textId="77777777" w:rsidR="009E56C9" w:rsidRPr="00A3573B" w:rsidRDefault="009E56C9" w:rsidP="009E56C9">
      <w:pPr>
        <w:spacing w:before="120" w:after="120" w:line="240" w:lineRule="auto"/>
        <w:rPr>
          <w:rFonts w:ascii="Kohinoor Devanagari" w:eastAsia="Times New Roman" w:hAnsi="Kohinoor Devanagari" w:cs="Kohinoor Devanagari"/>
          <w:b/>
          <w:bCs/>
          <w:color w:val="0D0D0D"/>
          <w:kern w:val="0"/>
          <w:sz w:val="22"/>
          <w:szCs w:val="22"/>
          <w:lang w:eastAsia="fr-FR"/>
          <w14:ligatures w14:val="none"/>
        </w:rPr>
      </w:pPr>
      <w:r w:rsidRPr="00A3573B">
        <w:rPr>
          <w:rFonts w:ascii="Kohinoor Devanagari" w:eastAsia="Times New Roman" w:hAnsi="Kohinoor Devanagari" w:cs="Kohinoor Devanagari"/>
          <w:b/>
          <w:bCs/>
          <w:color w:val="0D0D0D"/>
          <w:kern w:val="0"/>
          <w:sz w:val="22"/>
          <w:szCs w:val="22"/>
          <w:lang w:eastAsia="fr-FR"/>
          <w14:ligatures w14:val="none"/>
        </w:rPr>
        <w:t>Objective</w:t>
      </w:r>
    </w:p>
    <w:p w14:paraId="0878F742" w14:textId="77777777" w:rsidR="009E56C9" w:rsidRPr="00037A78" w:rsidRDefault="009E56C9" w:rsidP="009E56C9">
      <w:pPr>
        <w:spacing w:before="120" w:after="120" w:line="240" w:lineRule="auto"/>
        <w:jc w:val="both"/>
        <w:rPr>
          <w:rFonts w:ascii="Kohinoor Devanagari" w:eastAsia="Times New Roman" w:hAnsi="Kohinoor Devanagari" w:cs="Kohinoor Devanagari"/>
          <w:color w:val="0D0D0D"/>
          <w:kern w:val="0"/>
          <w:sz w:val="22"/>
          <w:szCs w:val="22"/>
          <w:lang w:eastAsia="fr-FR"/>
          <w14:ligatures w14:val="none"/>
        </w:rPr>
      </w:pPr>
      <w:r w:rsidRPr="00037A78">
        <w:rPr>
          <w:rFonts w:ascii="Kohinoor Devanagari" w:eastAsia="Times New Roman" w:hAnsi="Kohinoor Devanagari" w:cs="Kohinoor Devanagari"/>
          <w:color w:val="0D0D0D"/>
          <w:kern w:val="0"/>
          <w:sz w:val="22"/>
          <w:szCs w:val="22"/>
          <w:lang w:eastAsia="fr-FR"/>
          <w14:ligatures w14:val="none"/>
        </w:rPr>
        <w:t>This section ensures transparency in the allocation, distribution, and management of extractive industry revenues, enabling:</w:t>
      </w:r>
    </w:p>
    <w:p w14:paraId="23B26111" w14:textId="77777777" w:rsidR="009E56C9" w:rsidRPr="00037A78" w:rsidRDefault="009E56C9" w:rsidP="009E56C9">
      <w:pPr>
        <w:numPr>
          <w:ilvl w:val="0"/>
          <w:numId w:val="64"/>
        </w:numPr>
        <w:spacing w:before="120" w:after="120" w:line="240" w:lineRule="auto"/>
        <w:jc w:val="both"/>
        <w:rPr>
          <w:rFonts w:ascii="Kohinoor Devanagari" w:eastAsia="Times New Roman" w:hAnsi="Kohinoor Devanagari" w:cs="Kohinoor Devanagari"/>
          <w:color w:val="0D0D0D"/>
          <w:kern w:val="0"/>
          <w:sz w:val="22"/>
          <w:szCs w:val="22"/>
          <w:lang w:eastAsia="fr-FR"/>
          <w14:ligatures w14:val="none"/>
        </w:rPr>
      </w:pPr>
      <w:r w:rsidRPr="00037A78">
        <w:rPr>
          <w:rFonts w:ascii="Kohinoor Devanagari" w:eastAsia="Times New Roman" w:hAnsi="Kohinoor Devanagari" w:cs="Kohinoor Devanagari"/>
          <w:color w:val="0D0D0D"/>
          <w:kern w:val="0"/>
          <w:sz w:val="22"/>
          <w:szCs w:val="22"/>
          <w:lang w:eastAsia="fr-FR"/>
          <w14:ligatures w14:val="none"/>
        </w:rPr>
        <w:t>Traceability of extractive revenues recorded in the national budget.</w:t>
      </w:r>
    </w:p>
    <w:p w14:paraId="0D428499" w14:textId="77777777" w:rsidR="009E56C9" w:rsidRPr="00037A78" w:rsidRDefault="009E56C9" w:rsidP="009E56C9">
      <w:pPr>
        <w:numPr>
          <w:ilvl w:val="0"/>
          <w:numId w:val="64"/>
        </w:numPr>
        <w:spacing w:before="120" w:after="120" w:line="240" w:lineRule="auto"/>
        <w:jc w:val="both"/>
        <w:rPr>
          <w:rFonts w:ascii="Kohinoor Devanagari" w:eastAsia="Times New Roman" w:hAnsi="Kohinoor Devanagari" w:cs="Kohinoor Devanagari"/>
          <w:color w:val="0D0D0D"/>
          <w:kern w:val="0"/>
          <w:sz w:val="22"/>
          <w:szCs w:val="22"/>
          <w:lang w:eastAsia="fr-FR"/>
          <w14:ligatures w14:val="none"/>
        </w:rPr>
      </w:pPr>
      <w:r w:rsidRPr="00037A78">
        <w:rPr>
          <w:rFonts w:ascii="Kohinoor Devanagari" w:eastAsia="Times New Roman" w:hAnsi="Kohinoor Devanagari" w:cs="Kohinoor Devanagari"/>
          <w:color w:val="0D0D0D"/>
          <w:kern w:val="0"/>
          <w:sz w:val="22"/>
          <w:szCs w:val="22"/>
          <w:lang w:eastAsia="fr-FR"/>
          <w14:ligatures w14:val="none"/>
        </w:rPr>
        <w:t>Disclosure of revenues retained in off-budget accounts or allocated to SOEs and extra-budgetary funds.</w:t>
      </w:r>
    </w:p>
    <w:p w14:paraId="4BE596A2" w14:textId="77777777" w:rsidR="009E56C9" w:rsidRPr="00037A78" w:rsidRDefault="009E56C9" w:rsidP="009E56C9">
      <w:pPr>
        <w:numPr>
          <w:ilvl w:val="0"/>
          <w:numId w:val="64"/>
        </w:numPr>
        <w:spacing w:before="120" w:after="120" w:line="240" w:lineRule="auto"/>
        <w:jc w:val="both"/>
        <w:rPr>
          <w:rFonts w:ascii="Kohinoor Devanagari" w:eastAsia="Times New Roman" w:hAnsi="Kohinoor Devanagari" w:cs="Kohinoor Devanagari"/>
          <w:color w:val="0D0D0D"/>
          <w:kern w:val="0"/>
          <w:sz w:val="22"/>
          <w:szCs w:val="22"/>
          <w:lang w:eastAsia="fr-FR"/>
          <w14:ligatures w14:val="none"/>
        </w:rPr>
      </w:pPr>
      <w:r w:rsidRPr="00037A78">
        <w:rPr>
          <w:rFonts w:ascii="Kohinoor Devanagari" w:eastAsia="Times New Roman" w:hAnsi="Kohinoor Devanagari" w:cs="Kohinoor Devanagari"/>
          <w:color w:val="0D0D0D"/>
          <w:kern w:val="0"/>
          <w:sz w:val="22"/>
          <w:szCs w:val="22"/>
          <w:lang w:eastAsia="fr-FR"/>
          <w14:ligatures w14:val="none"/>
        </w:rPr>
        <w:t>Public access to financial reports on oil and gas revenue management, including sovereign funds.</w:t>
      </w:r>
    </w:p>
    <w:p w14:paraId="41D08F68" w14:textId="77777777" w:rsidR="009E56C9" w:rsidRPr="00037A78" w:rsidRDefault="009E56C9" w:rsidP="009E56C9">
      <w:pPr>
        <w:numPr>
          <w:ilvl w:val="0"/>
          <w:numId w:val="64"/>
        </w:numPr>
        <w:spacing w:before="120" w:after="120" w:line="240" w:lineRule="auto"/>
        <w:jc w:val="both"/>
        <w:rPr>
          <w:rFonts w:ascii="Kohinoor Devanagari" w:eastAsia="Times New Roman" w:hAnsi="Kohinoor Devanagari" w:cs="Kohinoor Devanagari"/>
          <w:color w:val="0D0D0D"/>
          <w:kern w:val="0"/>
          <w:sz w:val="22"/>
          <w:szCs w:val="22"/>
          <w:lang w:eastAsia="fr-FR"/>
          <w14:ligatures w14:val="none"/>
        </w:rPr>
      </w:pPr>
      <w:r w:rsidRPr="00037A78">
        <w:rPr>
          <w:rFonts w:ascii="Kohinoor Devanagari" w:eastAsia="Times New Roman" w:hAnsi="Kohinoor Devanagari" w:cs="Kohinoor Devanagari"/>
          <w:color w:val="0D0D0D"/>
          <w:kern w:val="0"/>
          <w:sz w:val="22"/>
          <w:szCs w:val="22"/>
          <w:lang w:eastAsia="fr-FR"/>
          <w14:ligatures w14:val="none"/>
        </w:rPr>
        <w:t>Understanding of budget assumptions, revenue sustainability, and fiscal risks related to the extractive sector.</w:t>
      </w:r>
    </w:p>
    <w:p w14:paraId="791A585A" w14:textId="77777777" w:rsidR="009E56C9" w:rsidRPr="00AC6109" w:rsidRDefault="009E56C9" w:rsidP="009E56C9">
      <w:pPr>
        <w:rPr>
          <w:rFonts w:ascii="Kohinoor Devanagari" w:eastAsia="Times New Roman" w:hAnsi="Kohinoor Devanagari" w:cs="Kohinoor Devanagari"/>
          <w:b/>
          <w:bCs/>
          <w:color w:val="0D0D0D"/>
          <w:kern w:val="0"/>
          <w:sz w:val="22"/>
          <w:szCs w:val="22"/>
          <w:lang w:eastAsia="fr-FR"/>
          <w14:ligatures w14:val="none"/>
        </w:rPr>
      </w:pPr>
      <w:r w:rsidRPr="00AC6109">
        <w:rPr>
          <w:rFonts w:ascii="Kohinoor Devanagari" w:eastAsia="Times New Roman" w:hAnsi="Kohinoor Devanagari" w:cs="Kohinoor Devanagari"/>
          <w:b/>
          <w:bCs/>
          <w:color w:val="0D0D0D"/>
          <w:kern w:val="0"/>
          <w:sz w:val="22"/>
          <w:szCs w:val="22"/>
          <w:lang w:eastAsia="fr-FR"/>
          <w14:ligatures w14:val="none"/>
        </w:rPr>
        <w:t>Data Disclosure Requirements</w:t>
      </w:r>
    </w:p>
    <w:tbl>
      <w:tblPr>
        <w:tblStyle w:val="TableGrid"/>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504"/>
        <w:gridCol w:w="1651"/>
        <w:gridCol w:w="1344"/>
        <w:gridCol w:w="1520"/>
        <w:gridCol w:w="1108"/>
        <w:gridCol w:w="1002"/>
        <w:gridCol w:w="1209"/>
      </w:tblGrid>
      <w:tr w:rsidR="00D67AA9" w:rsidRPr="00D67AA9" w14:paraId="495FFE8E" w14:textId="77777777" w:rsidTr="00D67AA9">
        <w:trPr>
          <w:tblHeader/>
        </w:trPr>
        <w:tc>
          <w:tcPr>
            <w:tcW w:w="0" w:type="auto"/>
            <w:shd w:val="clear" w:color="auto" w:fill="748A96"/>
            <w:hideMark/>
          </w:tcPr>
          <w:p w14:paraId="02BC7128" w14:textId="77777777" w:rsidR="009E56C9" w:rsidRPr="00C52386" w:rsidRDefault="009E56C9"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Data Type</w:t>
            </w:r>
          </w:p>
        </w:tc>
        <w:tc>
          <w:tcPr>
            <w:tcW w:w="0" w:type="auto"/>
            <w:shd w:val="clear" w:color="auto" w:fill="748A96"/>
            <w:hideMark/>
          </w:tcPr>
          <w:p w14:paraId="124DB3C5" w14:textId="77777777" w:rsidR="009E56C9" w:rsidRPr="00C52386" w:rsidRDefault="009E56C9"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Description</w:t>
            </w:r>
          </w:p>
        </w:tc>
        <w:tc>
          <w:tcPr>
            <w:tcW w:w="0" w:type="auto"/>
            <w:shd w:val="clear" w:color="auto" w:fill="748A96"/>
            <w:hideMark/>
          </w:tcPr>
          <w:p w14:paraId="49F654CD" w14:textId="77777777" w:rsidR="009E56C9" w:rsidRPr="00C52386" w:rsidRDefault="009E56C9"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Responsible Entities</w:t>
            </w:r>
          </w:p>
        </w:tc>
        <w:tc>
          <w:tcPr>
            <w:tcW w:w="0" w:type="auto"/>
            <w:shd w:val="clear" w:color="auto" w:fill="748A96"/>
            <w:hideMark/>
          </w:tcPr>
          <w:p w14:paraId="0A200ADA" w14:textId="77777777" w:rsidR="009E56C9" w:rsidRPr="00C52386" w:rsidRDefault="009E56C9"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Disaggregation</w:t>
            </w:r>
          </w:p>
        </w:tc>
        <w:tc>
          <w:tcPr>
            <w:tcW w:w="0" w:type="auto"/>
            <w:shd w:val="clear" w:color="auto" w:fill="748A96"/>
            <w:hideMark/>
          </w:tcPr>
          <w:p w14:paraId="0A4D0086" w14:textId="77777777" w:rsidR="009E56C9" w:rsidRPr="00C52386" w:rsidRDefault="009E56C9"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Frequency</w:t>
            </w:r>
          </w:p>
        </w:tc>
        <w:tc>
          <w:tcPr>
            <w:tcW w:w="0" w:type="auto"/>
            <w:shd w:val="clear" w:color="auto" w:fill="748A96"/>
            <w:hideMark/>
          </w:tcPr>
          <w:p w14:paraId="4719D86A" w14:textId="77777777" w:rsidR="009E56C9" w:rsidRPr="00C52386" w:rsidRDefault="009E56C9"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Format</w:t>
            </w:r>
          </w:p>
        </w:tc>
        <w:tc>
          <w:tcPr>
            <w:tcW w:w="0" w:type="auto"/>
            <w:shd w:val="clear" w:color="auto" w:fill="748A96"/>
            <w:hideMark/>
          </w:tcPr>
          <w:p w14:paraId="45903C24" w14:textId="77777777" w:rsidR="009E56C9" w:rsidRPr="00C52386" w:rsidRDefault="009E56C9" w:rsidP="0092022E">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Publication Channels</w:t>
            </w:r>
          </w:p>
        </w:tc>
      </w:tr>
      <w:tr w:rsidR="009E56C9" w:rsidRPr="00AC6109" w14:paraId="3354B75C" w14:textId="77777777" w:rsidTr="0092022E">
        <w:tc>
          <w:tcPr>
            <w:tcW w:w="0" w:type="auto"/>
            <w:hideMark/>
          </w:tcPr>
          <w:p w14:paraId="02B56063"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Allocation of Extractive Revenues</w:t>
            </w:r>
          </w:p>
        </w:tc>
        <w:tc>
          <w:tcPr>
            <w:tcW w:w="0" w:type="auto"/>
            <w:hideMark/>
          </w:tcPr>
          <w:p w14:paraId="033F5E6E"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Breakdown of extractive revenues recorded in the national budget and those retained in off-budget accounts.</w:t>
            </w:r>
          </w:p>
        </w:tc>
        <w:tc>
          <w:tcPr>
            <w:tcW w:w="0" w:type="auto"/>
            <w:hideMark/>
          </w:tcPr>
          <w:p w14:paraId="311658BD"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Ministry of Finance, Central Bank of Iraq, Ministry of Oil</w:t>
            </w:r>
          </w:p>
        </w:tc>
        <w:tc>
          <w:tcPr>
            <w:tcW w:w="0" w:type="auto"/>
            <w:hideMark/>
          </w:tcPr>
          <w:p w14:paraId="41570CAB"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By revenue stream, recipient agency</w:t>
            </w:r>
          </w:p>
        </w:tc>
        <w:tc>
          <w:tcPr>
            <w:tcW w:w="0" w:type="auto"/>
            <w:hideMark/>
          </w:tcPr>
          <w:p w14:paraId="438DCF4B"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Annually</w:t>
            </w:r>
          </w:p>
        </w:tc>
        <w:tc>
          <w:tcPr>
            <w:tcW w:w="0" w:type="auto"/>
            <w:hideMark/>
          </w:tcPr>
          <w:p w14:paraId="32563B8D"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847046">
              <w:rPr>
                <w:rFonts w:ascii="Calibri" w:eastAsia="Times New Roman" w:hAnsi="Calibri" w:cs="Calibri"/>
                <w:b/>
                <w:bCs/>
                <w:color w:val="0D0D0D"/>
                <w:kern w:val="0"/>
                <w:sz w:val="20"/>
                <w:szCs w:val="20"/>
                <w:lang w:eastAsia="fr-FR"/>
                <w14:ligatures w14:val="none"/>
              </w:rPr>
              <w:t>CSV, HTML</w:t>
            </w:r>
            <w:r w:rsidRPr="00847046">
              <w:rPr>
                <w:rFonts w:ascii="Calibri" w:eastAsia="Times New Roman" w:hAnsi="Calibri" w:cs="Calibri"/>
                <w:color w:val="0D0D0D"/>
                <w:kern w:val="0"/>
                <w:sz w:val="20"/>
                <w:szCs w:val="20"/>
                <w:lang w:eastAsia="fr-FR"/>
                <w14:ligatures w14:val="none"/>
              </w:rPr>
              <w:t xml:space="preserve"> (PDF optional)</w:t>
            </w:r>
          </w:p>
        </w:tc>
        <w:tc>
          <w:tcPr>
            <w:tcW w:w="0" w:type="auto"/>
            <w:hideMark/>
          </w:tcPr>
          <w:p w14:paraId="313758C1" w14:textId="35BD190B" w:rsidR="009E56C9" w:rsidRPr="00AC6109" w:rsidRDefault="008C2905" w:rsidP="0092022E">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9E56C9" w:rsidRPr="00AC6109">
              <w:rPr>
                <w:rFonts w:ascii="Calibri" w:eastAsia="Times New Roman" w:hAnsi="Calibri" w:cs="Calibri"/>
                <w:color w:val="0D0D0D"/>
                <w:kern w:val="0"/>
                <w:sz w:val="20"/>
                <w:szCs w:val="20"/>
                <w:lang w:eastAsia="fr-FR"/>
                <w14:ligatures w14:val="none"/>
              </w:rPr>
              <w:t xml:space="preserve"> Iraq portal, </w:t>
            </w:r>
            <w:r w:rsidR="009E56C9">
              <w:rPr>
                <w:rFonts w:ascii="Calibri" w:eastAsia="Times New Roman" w:hAnsi="Calibri" w:cs="Calibri"/>
                <w:color w:val="0D0D0D"/>
                <w:kern w:val="0"/>
                <w:sz w:val="20"/>
                <w:szCs w:val="20"/>
                <w:lang w:eastAsia="fr-FR"/>
                <w14:ligatures w14:val="none"/>
              </w:rPr>
              <w:t>MoF</w:t>
            </w:r>
            <w:r w:rsidR="009E56C9" w:rsidRPr="00AC6109">
              <w:rPr>
                <w:rFonts w:ascii="Calibri" w:eastAsia="Times New Roman" w:hAnsi="Calibri" w:cs="Calibri"/>
                <w:color w:val="0D0D0D"/>
                <w:kern w:val="0"/>
                <w:sz w:val="20"/>
                <w:szCs w:val="20"/>
                <w:lang w:eastAsia="fr-FR"/>
                <w14:ligatures w14:val="none"/>
              </w:rPr>
              <w:t xml:space="preserve"> website</w:t>
            </w:r>
          </w:p>
        </w:tc>
      </w:tr>
      <w:tr w:rsidR="009E56C9" w:rsidRPr="00AC6109" w14:paraId="490DF073" w14:textId="77777777" w:rsidTr="0092022E">
        <w:tc>
          <w:tcPr>
            <w:tcW w:w="0" w:type="auto"/>
            <w:hideMark/>
          </w:tcPr>
          <w:p w14:paraId="540B16B1"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Oil &amp; Gas Revenue Transfers to Treasury</w:t>
            </w:r>
          </w:p>
        </w:tc>
        <w:tc>
          <w:tcPr>
            <w:tcW w:w="0" w:type="auto"/>
            <w:hideMark/>
          </w:tcPr>
          <w:p w14:paraId="48726F13"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Disclosure of transfers from the Oil &amp; Gas Revenues Account (OGRA) to the national budget.</w:t>
            </w:r>
          </w:p>
        </w:tc>
        <w:tc>
          <w:tcPr>
            <w:tcW w:w="0" w:type="auto"/>
            <w:hideMark/>
          </w:tcPr>
          <w:p w14:paraId="691BFF85"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Ministry of Finance, Central Bank of Iraq</w:t>
            </w:r>
          </w:p>
        </w:tc>
        <w:tc>
          <w:tcPr>
            <w:tcW w:w="0" w:type="auto"/>
            <w:hideMark/>
          </w:tcPr>
          <w:p w14:paraId="7226866D"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By transfer type, account</w:t>
            </w:r>
          </w:p>
        </w:tc>
        <w:tc>
          <w:tcPr>
            <w:tcW w:w="0" w:type="auto"/>
            <w:hideMark/>
          </w:tcPr>
          <w:p w14:paraId="4B000021"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Monthly &amp; Annually</w:t>
            </w:r>
          </w:p>
        </w:tc>
        <w:tc>
          <w:tcPr>
            <w:tcW w:w="0" w:type="auto"/>
            <w:hideMark/>
          </w:tcPr>
          <w:p w14:paraId="5A11C7A1"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847046">
              <w:rPr>
                <w:rFonts w:ascii="Calibri" w:eastAsia="Times New Roman" w:hAnsi="Calibri" w:cs="Calibri"/>
                <w:b/>
                <w:bCs/>
                <w:color w:val="0D0D0D"/>
                <w:kern w:val="0"/>
                <w:sz w:val="20"/>
                <w:szCs w:val="20"/>
                <w:lang w:eastAsia="fr-FR"/>
                <w14:ligatures w14:val="none"/>
              </w:rPr>
              <w:t>CSV, HTML</w:t>
            </w:r>
          </w:p>
        </w:tc>
        <w:tc>
          <w:tcPr>
            <w:tcW w:w="0" w:type="auto"/>
            <w:hideMark/>
          </w:tcPr>
          <w:p w14:paraId="77245CED" w14:textId="09D6EBD1" w:rsidR="009E56C9" w:rsidRPr="00AC6109" w:rsidRDefault="008C2905" w:rsidP="0092022E">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9E56C9" w:rsidRPr="00AC6109">
              <w:rPr>
                <w:rFonts w:ascii="Calibri" w:eastAsia="Times New Roman" w:hAnsi="Calibri" w:cs="Calibri"/>
                <w:color w:val="0D0D0D"/>
                <w:kern w:val="0"/>
                <w:sz w:val="20"/>
                <w:szCs w:val="20"/>
                <w:lang w:eastAsia="fr-FR"/>
                <w14:ligatures w14:val="none"/>
              </w:rPr>
              <w:t xml:space="preserve"> Iraq portal, MoF website</w:t>
            </w:r>
          </w:p>
        </w:tc>
      </w:tr>
      <w:tr w:rsidR="009E56C9" w:rsidRPr="00AC6109" w14:paraId="32BDE106" w14:textId="77777777" w:rsidTr="0092022E">
        <w:tc>
          <w:tcPr>
            <w:tcW w:w="0" w:type="auto"/>
            <w:hideMark/>
          </w:tcPr>
          <w:p w14:paraId="36CE4B76"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Off-Budget Revenue Allocations</w:t>
            </w:r>
          </w:p>
        </w:tc>
        <w:tc>
          <w:tcPr>
            <w:tcW w:w="0" w:type="auto"/>
            <w:hideMark/>
          </w:tcPr>
          <w:p w14:paraId="2331C5FC"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Identification of revenues allocated to SOEs, sovereign wealth funds, or special accounts.</w:t>
            </w:r>
          </w:p>
        </w:tc>
        <w:tc>
          <w:tcPr>
            <w:tcW w:w="0" w:type="auto"/>
            <w:hideMark/>
          </w:tcPr>
          <w:p w14:paraId="47851F66"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Ministry of Finance, SOEs</w:t>
            </w:r>
          </w:p>
        </w:tc>
        <w:tc>
          <w:tcPr>
            <w:tcW w:w="0" w:type="auto"/>
            <w:hideMark/>
          </w:tcPr>
          <w:p w14:paraId="59127780"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By recipient entity</w:t>
            </w:r>
          </w:p>
        </w:tc>
        <w:tc>
          <w:tcPr>
            <w:tcW w:w="0" w:type="auto"/>
            <w:hideMark/>
          </w:tcPr>
          <w:p w14:paraId="347F5579"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Annually</w:t>
            </w:r>
          </w:p>
        </w:tc>
        <w:tc>
          <w:tcPr>
            <w:tcW w:w="0" w:type="auto"/>
            <w:hideMark/>
          </w:tcPr>
          <w:p w14:paraId="13FED2FC"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847046">
              <w:rPr>
                <w:rFonts w:ascii="Calibri" w:eastAsia="Times New Roman" w:hAnsi="Calibri" w:cs="Calibri"/>
                <w:b/>
                <w:bCs/>
                <w:color w:val="0D0D0D"/>
                <w:kern w:val="0"/>
                <w:sz w:val="20"/>
                <w:szCs w:val="20"/>
                <w:lang w:eastAsia="fr-FR"/>
                <w14:ligatures w14:val="none"/>
              </w:rPr>
              <w:t>CSV, HTML</w:t>
            </w:r>
          </w:p>
        </w:tc>
        <w:tc>
          <w:tcPr>
            <w:tcW w:w="0" w:type="auto"/>
            <w:hideMark/>
          </w:tcPr>
          <w:p w14:paraId="31F0C0B9" w14:textId="74C1EBE4" w:rsidR="009E56C9" w:rsidRPr="00AC6109" w:rsidRDefault="008C2905" w:rsidP="0092022E">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9E56C9" w:rsidRPr="00AC6109">
              <w:rPr>
                <w:rFonts w:ascii="Calibri" w:eastAsia="Times New Roman" w:hAnsi="Calibri" w:cs="Calibri"/>
                <w:color w:val="0D0D0D"/>
                <w:kern w:val="0"/>
                <w:sz w:val="20"/>
                <w:szCs w:val="20"/>
                <w:lang w:eastAsia="fr-FR"/>
                <w14:ligatures w14:val="none"/>
              </w:rPr>
              <w:t xml:space="preserve"> Iraq portal</w:t>
            </w:r>
          </w:p>
          <w:p w14:paraId="7C1E555E"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MoF website</w:t>
            </w:r>
          </w:p>
        </w:tc>
      </w:tr>
      <w:tr w:rsidR="009E56C9" w:rsidRPr="00AC6109" w14:paraId="55DE1A7C" w14:textId="77777777" w:rsidTr="0092022E">
        <w:tc>
          <w:tcPr>
            <w:tcW w:w="0" w:type="auto"/>
            <w:hideMark/>
          </w:tcPr>
          <w:p w14:paraId="396E6FFB"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Kuwait Compensation Fund Transfers (If</w:t>
            </w:r>
            <w:r>
              <w:rPr>
                <w:rFonts w:ascii="Calibri" w:eastAsia="Times New Roman" w:hAnsi="Calibri" w:cs="Calibri"/>
                <w:color w:val="0D0D0D"/>
                <w:kern w:val="0"/>
                <w:sz w:val="20"/>
                <w:szCs w:val="20"/>
                <w:lang w:eastAsia="fr-FR"/>
                <w14:ligatures w14:val="none"/>
              </w:rPr>
              <w:t xml:space="preserve"> </w:t>
            </w:r>
            <w:r w:rsidRPr="00AC6109">
              <w:rPr>
                <w:rFonts w:ascii="Calibri" w:eastAsia="Times New Roman" w:hAnsi="Calibri" w:cs="Calibri"/>
                <w:color w:val="0D0D0D"/>
                <w:kern w:val="0"/>
                <w:sz w:val="20"/>
                <w:szCs w:val="20"/>
                <w:lang w:eastAsia="fr-FR"/>
                <w14:ligatures w14:val="none"/>
              </w:rPr>
              <w:t>applicable)</w:t>
            </w:r>
          </w:p>
        </w:tc>
        <w:tc>
          <w:tcPr>
            <w:tcW w:w="0" w:type="auto"/>
            <w:hideMark/>
          </w:tcPr>
          <w:p w14:paraId="5CCAD0FD"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Disclosure of oil revenues transferred for historical compensation payments.</w:t>
            </w:r>
          </w:p>
        </w:tc>
        <w:tc>
          <w:tcPr>
            <w:tcW w:w="0" w:type="auto"/>
            <w:hideMark/>
          </w:tcPr>
          <w:p w14:paraId="6BC06DD2"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Central Bank of Iraq, Ministry of Finance</w:t>
            </w:r>
          </w:p>
        </w:tc>
        <w:tc>
          <w:tcPr>
            <w:tcW w:w="0" w:type="auto"/>
            <w:hideMark/>
          </w:tcPr>
          <w:p w14:paraId="5042116A"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By transfer type</w:t>
            </w:r>
          </w:p>
        </w:tc>
        <w:tc>
          <w:tcPr>
            <w:tcW w:w="0" w:type="auto"/>
            <w:hideMark/>
          </w:tcPr>
          <w:p w14:paraId="11A300BA"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Annually</w:t>
            </w:r>
          </w:p>
        </w:tc>
        <w:tc>
          <w:tcPr>
            <w:tcW w:w="0" w:type="auto"/>
            <w:hideMark/>
          </w:tcPr>
          <w:p w14:paraId="355FA4A8"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847046">
              <w:rPr>
                <w:rFonts w:ascii="Calibri" w:eastAsia="Times New Roman" w:hAnsi="Calibri" w:cs="Calibri"/>
                <w:b/>
                <w:bCs/>
                <w:color w:val="0D0D0D"/>
                <w:kern w:val="0"/>
                <w:sz w:val="20"/>
                <w:szCs w:val="20"/>
                <w:lang w:eastAsia="fr-FR"/>
                <w14:ligatures w14:val="none"/>
              </w:rPr>
              <w:t>CSV, HTML</w:t>
            </w:r>
          </w:p>
        </w:tc>
        <w:tc>
          <w:tcPr>
            <w:tcW w:w="0" w:type="auto"/>
            <w:hideMark/>
          </w:tcPr>
          <w:p w14:paraId="313C86A4"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MoF Website</w:t>
            </w:r>
          </w:p>
          <w:p w14:paraId="7A061199" w14:textId="20542BE7" w:rsidR="009E56C9" w:rsidRPr="00AC6109" w:rsidRDefault="008C2905" w:rsidP="0092022E">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Pr="00AC6109">
              <w:rPr>
                <w:rFonts w:ascii="Calibri" w:eastAsia="Times New Roman" w:hAnsi="Calibri" w:cs="Calibri"/>
                <w:color w:val="0D0D0D"/>
                <w:kern w:val="0"/>
                <w:sz w:val="20"/>
                <w:szCs w:val="20"/>
                <w:lang w:eastAsia="fr-FR"/>
                <w14:ligatures w14:val="none"/>
              </w:rPr>
              <w:t xml:space="preserve"> </w:t>
            </w:r>
            <w:r w:rsidR="009E56C9" w:rsidRPr="00AC6109">
              <w:rPr>
                <w:rFonts w:ascii="Calibri" w:eastAsia="Times New Roman" w:hAnsi="Calibri" w:cs="Calibri"/>
                <w:color w:val="0D0D0D"/>
                <w:kern w:val="0"/>
                <w:sz w:val="20"/>
                <w:szCs w:val="20"/>
                <w:lang w:eastAsia="fr-FR"/>
                <w14:ligatures w14:val="none"/>
              </w:rPr>
              <w:t>Iraq portal</w:t>
            </w:r>
          </w:p>
        </w:tc>
      </w:tr>
      <w:tr w:rsidR="009E56C9" w:rsidRPr="00AC6109" w14:paraId="4B2FB79F" w14:textId="77777777" w:rsidTr="0092022E">
        <w:tc>
          <w:tcPr>
            <w:tcW w:w="0" w:type="auto"/>
            <w:hideMark/>
          </w:tcPr>
          <w:p w14:paraId="44AAE349"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Budget Assumptions and Revenue Forecasts</w:t>
            </w:r>
          </w:p>
        </w:tc>
        <w:tc>
          <w:tcPr>
            <w:tcW w:w="0" w:type="auto"/>
            <w:hideMark/>
          </w:tcPr>
          <w:p w14:paraId="6ADE31FF"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Projections of extractive sector revenues, including oil price assumptions and fiscal breakeven analysis.</w:t>
            </w:r>
          </w:p>
        </w:tc>
        <w:tc>
          <w:tcPr>
            <w:tcW w:w="0" w:type="auto"/>
            <w:hideMark/>
          </w:tcPr>
          <w:p w14:paraId="6930F29A"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Ministry of Finance, Ministry of Planning</w:t>
            </w:r>
          </w:p>
        </w:tc>
        <w:tc>
          <w:tcPr>
            <w:tcW w:w="0" w:type="auto"/>
            <w:hideMark/>
          </w:tcPr>
          <w:p w14:paraId="15D7FE9A"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By year, revenue stream</w:t>
            </w:r>
          </w:p>
        </w:tc>
        <w:tc>
          <w:tcPr>
            <w:tcW w:w="0" w:type="auto"/>
            <w:hideMark/>
          </w:tcPr>
          <w:p w14:paraId="1A4F08B4"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Annually &amp; Updates</w:t>
            </w:r>
          </w:p>
        </w:tc>
        <w:tc>
          <w:tcPr>
            <w:tcW w:w="0" w:type="auto"/>
            <w:hideMark/>
          </w:tcPr>
          <w:p w14:paraId="650DA20D"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847046">
              <w:rPr>
                <w:rFonts w:ascii="Calibri" w:eastAsia="Times New Roman" w:hAnsi="Calibri" w:cs="Calibri"/>
                <w:b/>
                <w:bCs/>
                <w:color w:val="0D0D0D"/>
                <w:kern w:val="0"/>
                <w:sz w:val="20"/>
                <w:szCs w:val="20"/>
                <w:lang w:eastAsia="fr-FR"/>
                <w14:ligatures w14:val="none"/>
              </w:rPr>
              <w:t>CSV, HTML</w:t>
            </w:r>
          </w:p>
        </w:tc>
        <w:tc>
          <w:tcPr>
            <w:tcW w:w="0" w:type="auto"/>
            <w:hideMark/>
          </w:tcPr>
          <w:p w14:paraId="570EC38F"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MoF Website</w:t>
            </w:r>
          </w:p>
          <w:p w14:paraId="6C7121EF" w14:textId="1CA59EAD" w:rsidR="009E56C9" w:rsidRPr="00AC6109" w:rsidRDefault="008C2905" w:rsidP="0092022E">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9E56C9" w:rsidRPr="00AC6109">
              <w:rPr>
                <w:rFonts w:ascii="Calibri" w:eastAsia="Times New Roman" w:hAnsi="Calibri" w:cs="Calibri"/>
                <w:color w:val="0D0D0D"/>
                <w:kern w:val="0"/>
                <w:sz w:val="20"/>
                <w:szCs w:val="20"/>
                <w:lang w:eastAsia="fr-FR"/>
                <w14:ligatures w14:val="none"/>
              </w:rPr>
              <w:t xml:space="preserve"> Iraq portal</w:t>
            </w:r>
          </w:p>
        </w:tc>
      </w:tr>
      <w:tr w:rsidR="009E56C9" w:rsidRPr="00AC6109" w14:paraId="79934AD3" w14:textId="77777777" w:rsidTr="0092022E">
        <w:tc>
          <w:tcPr>
            <w:tcW w:w="0" w:type="auto"/>
            <w:hideMark/>
          </w:tcPr>
          <w:p w14:paraId="00A43AE3"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Projected Production &amp; Cost Recovery Timelines</w:t>
            </w:r>
          </w:p>
        </w:tc>
        <w:tc>
          <w:tcPr>
            <w:tcW w:w="0" w:type="auto"/>
            <w:hideMark/>
          </w:tcPr>
          <w:p w14:paraId="3773CE10"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Disclosure of expected production levels and IOC cost recovery estimates.</w:t>
            </w:r>
          </w:p>
        </w:tc>
        <w:tc>
          <w:tcPr>
            <w:tcW w:w="0" w:type="auto"/>
            <w:hideMark/>
          </w:tcPr>
          <w:p w14:paraId="70B50D1C"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Ministry of Oil, IOCs</w:t>
            </w:r>
          </w:p>
        </w:tc>
        <w:tc>
          <w:tcPr>
            <w:tcW w:w="0" w:type="auto"/>
            <w:hideMark/>
          </w:tcPr>
          <w:p w14:paraId="6CC4D38B"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By project, commodity</w:t>
            </w:r>
          </w:p>
        </w:tc>
        <w:tc>
          <w:tcPr>
            <w:tcW w:w="0" w:type="auto"/>
            <w:hideMark/>
          </w:tcPr>
          <w:p w14:paraId="55F47CBF"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Annually</w:t>
            </w:r>
          </w:p>
        </w:tc>
        <w:tc>
          <w:tcPr>
            <w:tcW w:w="0" w:type="auto"/>
            <w:hideMark/>
          </w:tcPr>
          <w:p w14:paraId="1F6291F7"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847046">
              <w:rPr>
                <w:rFonts w:ascii="Calibri" w:eastAsia="Times New Roman" w:hAnsi="Calibri" w:cs="Calibri"/>
                <w:b/>
                <w:bCs/>
                <w:color w:val="0D0D0D"/>
                <w:kern w:val="0"/>
                <w:sz w:val="20"/>
                <w:szCs w:val="20"/>
                <w:lang w:eastAsia="fr-FR"/>
                <w14:ligatures w14:val="none"/>
              </w:rPr>
              <w:t>CSV, HTML</w:t>
            </w:r>
          </w:p>
        </w:tc>
        <w:tc>
          <w:tcPr>
            <w:tcW w:w="0" w:type="auto"/>
            <w:hideMark/>
          </w:tcPr>
          <w:p w14:paraId="23867DC2" w14:textId="5B119E7E" w:rsidR="009E56C9" w:rsidRPr="00AC6109" w:rsidRDefault="008C2905" w:rsidP="0092022E">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9E56C9" w:rsidRPr="00AC6109">
              <w:rPr>
                <w:rFonts w:ascii="Calibri" w:eastAsia="Times New Roman" w:hAnsi="Calibri" w:cs="Calibri"/>
                <w:color w:val="0D0D0D"/>
                <w:kern w:val="0"/>
                <w:sz w:val="20"/>
                <w:szCs w:val="20"/>
                <w:lang w:eastAsia="fr-FR"/>
                <w14:ligatures w14:val="none"/>
              </w:rPr>
              <w:t xml:space="preserve"> Iraq portal</w:t>
            </w:r>
            <w:r w:rsidR="009E56C9">
              <w:rPr>
                <w:rFonts w:ascii="Calibri" w:eastAsia="Times New Roman" w:hAnsi="Calibri" w:cs="Calibri"/>
                <w:color w:val="0D0D0D"/>
                <w:kern w:val="0"/>
                <w:sz w:val="20"/>
                <w:szCs w:val="20"/>
                <w:lang w:eastAsia="fr-FR"/>
                <w14:ligatures w14:val="none"/>
              </w:rPr>
              <w:t xml:space="preserve">, </w:t>
            </w:r>
            <w:proofErr w:type="spellStart"/>
            <w:r w:rsidR="009E56C9">
              <w:rPr>
                <w:rFonts w:ascii="Calibri" w:eastAsia="Times New Roman" w:hAnsi="Calibri" w:cs="Calibri"/>
                <w:color w:val="0D0D0D"/>
                <w:kern w:val="0"/>
                <w:sz w:val="20"/>
                <w:szCs w:val="20"/>
                <w:lang w:eastAsia="fr-FR"/>
                <w14:ligatures w14:val="none"/>
              </w:rPr>
              <w:t>MoO</w:t>
            </w:r>
            <w:proofErr w:type="spellEnd"/>
            <w:r w:rsidR="009E56C9">
              <w:rPr>
                <w:rFonts w:ascii="Calibri" w:eastAsia="Times New Roman" w:hAnsi="Calibri" w:cs="Calibri"/>
                <w:color w:val="0D0D0D"/>
                <w:kern w:val="0"/>
                <w:sz w:val="20"/>
                <w:szCs w:val="20"/>
                <w:lang w:eastAsia="fr-FR"/>
                <w14:ligatures w14:val="none"/>
              </w:rPr>
              <w:t xml:space="preserve"> website</w:t>
            </w:r>
          </w:p>
        </w:tc>
      </w:tr>
      <w:tr w:rsidR="009E56C9" w:rsidRPr="00AC6109" w14:paraId="5C7647B7" w14:textId="77777777" w:rsidTr="0092022E">
        <w:tc>
          <w:tcPr>
            <w:tcW w:w="0" w:type="auto"/>
            <w:hideMark/>
          </w:tcPr>
          <w:p w14:paraId="22AA6835"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Budget and Audit Process Transparency</w:t>
            </w:r>
          </w:p>
        </w:tc>
        <w:tc>
          <w:tcPr>
            <w:tcW w:w="0" w:type="auto"/>
            <w:hideMark/>
          </w:tcPr>
          <w:p w14:paraId="7E6C6DED"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Public disclosure of budgeting processes, audit reports, and financial controls.</w:t>
            </w:r>
          </w:p>
        </w:tc>
        <w:tc>
          <w:tcPr>
            <w:tcW w:w="0" w:type="auto"/>
            <w:hideMark/>
          </w:tcPr>
          <w:p w14:paraId="20C2118A"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Ministry of Finance, Supreme Audit Institution</w:t>
            </w:r>
          </w:p>
        </w:tc>
        <w:tc>
          <w:tcPr>
            <w:tcW w:w="0" w:type="auto"/>
            <w:hideMark/>
          </w:tcPr>
          <w:p w14:paraId="50279919"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By government entity, SOE</w:t>
            </w:r>
          </w:p>
        </w:tc>
        <w:tc>
          <w:tcPr>
            <w:tcW w:w="0" w:type="auto"/>
            <w:hideMark/>
          </w:tcPr>
          <w:p w14:paraId="1A29363E"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Annually</w:t>
            </w:r>
          </w:p>
        </w:tc>
        <w:tc>
          <w:tcPr>
            <w:tcW w:w="0" w:type="auto"/>
            <w:hideMark/>
          </w:tcPr>
          <w:p w14:paraId="3A129A0D" w14:textId="77777777" w:rsidR="009E56C9" w:rsidRPr="00AC6109" w:rsidRDefault="009E56C9" w:rsidP="0092022E">
            <w:pPr>
              <w:spacing w:after="40"/>
              <w:rPr>
                <w:rFonts w:ascii="Calibri" w:eastAsia="Times New Roman" w:hAnsi="Calibri" w:cs="Calibri"/>
                <w:color w:val="0D0D0D"/>
                <w:kern w:val="0"/>
                <w:sz w:val="20"/>
                <w:szCs w:val="20"/>
                <w:lang w:eastAsia="fr-FR"/>
                <w14:ligatures w14:val="none"/>
              </w:rPr>
            </w:pPr>
            <w:r w:rsidRPr="00F41EEF">
              <w:rPr>
                <w:rFonts w:ascii="Calibri" w:eastAsia="Times New Roman" w:hAnsi="Calibri" w:cs="Calibri"/>
                <w:color w:val="0D0D0D"/>
                <w:kern w:val="0"/>
                <w:sz w:val="20"/>
                <w:szCs w:val="20"/>
                <w:lang w:eastAsia="fr-FR"/>
                <w14:ligatures w14:val="none"/>
              </w:rPr>
              <w:t>HTML, PDF</w:t>
            </w:r>
          </w:p>
        </w:tc>
        <w:tc>
          <w:tcPr>
            <w:tcW w:w="0" w:type="auto"/>
            <w:hideMark/>
          </w:tcPr>
          <w:p w14:paraId="76ACC108" w14:textId="13522E65" w:rsidR="009E56C9" w:rsidRPr="00AC6109" w:rsidRDefault="008C2905" w:rsidP="0092022E">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9E56C9" w:rsidRPr="00AC6109">
              <w:rPr>
                <w:rFonts w:ascii="Calibri" w:eastAsia="Times New Roman" w:hAnsi="Calibri" w:cs="Calibri"/>
                <w:color w:val="0D0D0D"/>
                <w:kern w:val="0"/>
                <w:sz w:val="20"/>
                <w:szCs w:val="20"/>
                <w:lang w:eastAsia="fr-FR"/>
                <w14:ligatures w14:val="none"/>
              </w:rPr>
              <w:t xml:space="preserve"> Iraq portal, MoF website</w:t>
            </w:r>
          </w:p>
        </w:tc>
      </w:tr>
    </w:tbl>
    <w:p w14:paraId="5E534270" w14:textId="77777777" w:rsidR="009E56C9" w:rsidRDefault="009E56C9" w:rsidP="009E56C9"/>
    <w:p w14:paraId="75B9B79B" w14:textId="3DF5ACDE" w:rsidR="009E56C9" w:rsidRPr="00C52386" w:rsidRDefault="009E56C9" w:rsidP="00C52386">
      <w:pPr>
        <w:pStyle w:val="Heading4"/>
        <w:spacing w:before="120" w:after="120"/>
        <w:rPr>
          <w:rFonts w:ascii="Kohinoor Devanagari" w:hAnsi="Kohinoor Devanagari" w:cs="Kohinoor Devanagari"/>
          <w:b/>
          <w:bCs/>
          <w:sz w:val="22"/>
          <w:szCs w:val="22"/>
        </w:rPr>
      </w:pPr>
      <w:r w:rsidRPr="00C52386">
        <w:rPr>
          <w:rFonts w:ascii="Kohinoor Devanagari" w:hAnsi="Kohinoor Devanagari" w:cs="Kohinoor Devanagari"/>
          <w:b/>
          <w:bCs/>
          <w:sz w:val="22"/>
          <w:szCs w:val="22"/>
        </w:rPr>
        <w:t xml:space="preserve">Module 9: </w:t>
      </w:r>
      <w:r w:rsidR="001F4452" w:rsidRPr="00C52386">
        <w:rPr>
          <w:rFonts w:ascii="Kohinoor Devanagari" w:hAnsi="Kohinoor Devanagari" w:cs="Kohinoor Devanagari"/>
          <w:b/>
          <w:bCs/>
          <w:sz w:val="22"/>
          <w:szCs w:val="22"/>
        </w:rPr>
        <w:t>Subnational contributions</w:t>
      </w:r>
    </w:p>
    <w:p w14:paraId="0FBDD84C" w14:textId="3EF0F50C" w:rsidR="00717184" w:rsidRPr="00A3573B" w:rsidRDefault="00802B2B" w:rsidP="00717184">
      <w:pPr>
        <w:pStyle w:val="Heading4"/>
        <w:spacing w:before="120" w:after="120"/>
        <w:rPr>
          <w:rFonts w:ascii="Kohinoor Devanagari" w:hAnsi="Kohinoor Devanagari" w:cs="Kohinoor Devanagari"/>
          <w:b/>
          <w:bCs/>
          <w:sz w:val="22"/>
          <w:szCs w:val="22"/>
        </w:rPr>
      </w:pPr>
      <w:r>
        <w:rPr>
          <w:rFonts w:ascii="Kohinoor Devanagari" w:hAnsi="Kohinoor Devanagari" w:cs="Kohinoor Devanagari"/>
          <w:b/>
          <w:bCs/>
          <w:sz w:val="22"/>
          <w:szCs w:val="22"/>
        </w:rPr>
        <w:t xml:space="preserve">9.1. </w:t>
      </w:r>
      <w:r w:rsidR="00717184" w:rsidRPr="00A3573B">
        <w:rPr>
          <w:rFonts w:ascii="Kohinoor Devanagari" w:hAnsi="Kohinoor Devanagari" w:cs="Kohinoor Devanagari"/>
          <w:b/>
          <w:bCs/>
          <w:sz w:val="22"/>
          <w:szCs w:val="22"/>
        </w:rPr>
        <w:t>Subnational Payments (Requirement 4.6)</w:t>
      </w:r>
    </w:p>
    <w:p w14:paraId="011F9CF3" w14:textId="77777777" w:rsidR="00717184" w:rsidRPr="008737A3" w:rsidRDefault="00717184" w:rsidP="00717184">
      <w:pPr>
        <w:rPr>
          <w:rFonts w:ascii="Kohinoor Devanagari" w:eastAsia="Times New Roman" w:hAnsi="Kohinoor Devanagari" w:cs="Kohinoor Devanagari"/>
          <w:b/>
          <w:bCs/>
          <w:color w:val="0D0D0D"/>
          <w:kern w:val="0"/>
          <w:sz w:val="22"/>
          <w:szCs w:val="22"/>
          <w:lang w:eastAsia="fr-FR"/>
          <w14:ligatures w14:val="none"/>
        </w:rPr>
      </w:pPr>
      <w:r w:rsidRPr="008737A3">
        <w:rPr>
          <w:rFonts w:ascii="Kohinoor Devanagari" w:eastAsia="Times New Roman" w:hAnsi="Kohinoor Devanagari" w:cs="Kohinoor Devanagari"/>
          <w:b/>
          <w:bCs/>
          <w:color w:val="0D0D0D"/>
          <w:kern w:val="0"/>
          <w:sz w:val="22"/>
          <w:szCs w:val="22"/>
          <w:lang w:eastAsia="fr-FR"/>
          <w14:ligatures w14:val="none"/>
        </w:rPr>
        <w:t>Objective</w:t>
      </w:r>
    </w:p>
    <w:p w14:paraId="34D4D8BD" w14:textId="77777777" w:rsidR="00717184" w:rsidRPr="008737A3" w:rsidRDefault="00717184" w:rsidP="002D3CD8">
      <w:p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8737A3">
        <w:rPr>
          <w:rFonts w:ascii="Kohinoor Devanagari" w:eastAsia="Times New Roman" w:hAnsi="Kohinoor Devanagari" w:cs="Kohinoor Devanagari"/>
          <w:color w:val="0D0D0D"/>
          <w:kern w:val="0"/>
          <w:sz w:val="22"/>
          <w:szCs w:val="22"/>
          <w:lang w:eastAsia="fr-FR"/>
          <w14:ligatures w14:val="none"/>
        </w:rPr>
        <w:t>This section ensures transparency in direct company payments to subnational governments, enabling:</w:t>
      </w:r>
    </w:p>
    <w:p w14:paraId="648BA8EB" w14:textId="77777777" w:rsidR="00717184" w:rsidRPr="008737A3" w:rsidRDefault="00717184" w:rsidP="00FD2B68">
      <w:pPr>
        <w:numPr>
          <w:ilvl w:val="0"/>
          <w:numId w:val="65"/>
        </w:num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8737A3">
        <w:rPr>
          <w:rFonts w:ascii="Kohinoor Devanagari" w:eastAsia="Times New Roman" w:hAnsi="Kohinoor Devanagari" w:cs="Kohinoor Devanagari"/>
          <w:color w:val="0D0D0D"/>
          <w:kern w:val="0"/>
          <w:sz w:val="22"/>
          <w:szCs w:val="22"/>
          <w:lang w:eastAsia="fr-FR"/>
          <w14:ligatures w14:val="none"/>
        </w:rPr>
        <w:t>Public understanding of extractive revenues accruing to local governments, particularly in the Kurdistan Region.</w:t>
      </w:r>
    </w:p>
    <w:p w14:paraId="5CDC380B" w14:textId="77777777" w:rsidR="00717184" w:rsidRPr="008737A3" w:rsidRDefault="00717184" w:rsidP="00FD2B68">
      <w:pPr>
        <w:numPr>
          <w:ilvl w:val="0"/>
          <w:numId w:val="65"/>
        </w:num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8737A3">
        <w:rPr>
          <w:rFonts w:ascii="Kohinoor Devanagari" w:eastAsia="Times New Roman" w:hAnsi="Kohinoor Devanagari" w:cs="Kohinoor Devanagari"/>
          <w:color w:val="0D0D0D"/>
          <w:kern w:val="0"/>
          <w:sz w:val="22"/>
          <w:szCs w:val="22"/>
          <w:lang w:eastAsia="fr-FR"/>
          <w14:ligatures w14:val="none"/>
        </w:rPr>
        <w:t>Improved oversight of subnational revenue management and allocation.</w:t>
      </w:r>
    </w:p>
    <w:p w14:paraId="075ED91D" w14:textId="77777777" w:rsidR="00717184" w:rsidRPr="008737A3" w:rsidRDefault="00717184" w:rsidP="00FD2B68">
      <w:pPr>
        <w:numPr>
          <w:ilvl w:val="0"/>
          <w:numId w:val="65"/>
        </w:num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8737A3">
        <w:rPr>
          <w:rFonts w:ascii="Kohinoor Devanagari" w:eastAsia="Times New Roman" w:hAnsi="Kohinoor Devanagari" w:cs="Kohinoor Devanagari"/>
          <w:color w:val="0D0D0D"/>
          <w:kern w:val="0"/>
          <w:sz w:val="22"/>
          <w:szCs w:val="22"/>
          <w:lang w:eastAsia="fr-FR"/>
          <w14:ligatures w14:val="none"/>
        </w:rPr>
        <w:t>Clarification of payment flows from companies to the Kurdistan Regional Government (KRG).</w:t>
      </w:r>
    </w:p>
    <w:p w14:paraId="5CBBDC37" w14:textId="685FC69B" w:rsidR="00717184" w:rsidRPr="00961378" w:rsidRDefault="00717184" w:rsidP="00717184">
      <w:pPr>
        <w:rPr>
          <w:rFonts w:ascii="Kohinoor Devanagari" w:eastAsia="Times New Roman" w:hAnsi="Kohinoor Devanagari" w:cs="Kohinoor Devanagari"/>
          <w:b/>
          <w:bCs/>
          <w:color w:val="0D0D0D"/>
          <w:kern w:val="0"/>
          <w:sz w:val="22"/>
          <w:szCs w:val="22"/>
          <w:lang w:eastAsia="fr-FR"/>
          <w14:ligatures w14:val="none"/>
        </w:rPr>
      </w:pPr>
      <w:r w:rsidRPr="00961378">
        <w:rPr>
          <w:rFonts w:ascii="Kohinoor Devanagari" w:eastAsia="Times New Roman" w:hAnsi="Kohinoor Devanagari" w:cs="Kohinoor Devanagari"/>
          <w:b/>
          <w:bCs/>
          <w:color w:val="0D0D0D"/>
          <w:kern w:val="0"/>
          <w:sz w:val="22"/>
          <w:szCs w:val="22"/>
          <w:lang w:eastAsia="fr-FR"/>
          <w14:ligatures w14:val="none"/>
        </w:rPr>
        <w:t>Data Disclosure Requirements</w:t>
      </w:r>
    </w:p>
    <w:tbl>
      <w:tblPr>
        <w:tblStyle w:val="TableGrid"/>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478"/>
        <w:gridCol w:w="1683"/>
        <w:gridCol w:w="1420"/>
        <w:gridCol w:w="1541"/>
        <w:gridCol w:w="1128"/>
        <w:gridCol w:w="834"/>
        <w:gridCol w:w="1254"/>
      </w:tblGrid>
      <w:tr w:rsidR="00D67AA9" w:rsidRPr="00D67AA9" w14:paraId="45DF5C40" w14:textId="77777777" w:rsidTr="00D67AA9">
        <w:trPr>
          <w:tblHeader/>
        </w:trPr>
        <w:tc>
          <w:tcPr>
            <w:tcW w:w="0" w:type="auto"/>
            <w:shd w:val="clear" w:color="auto" w:fill="748A96"/>
            <w:hideMark/>
          </w:tcPr>
          <w:p w14:paraId="2DFC0A0A" w14:textId="77777777" w:rsidR="00717184" w:rsidRPr="00C52386" w:rsidRDefault="00717184"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Data Type</w:t>
            </w:r>
          </w:p>
        </w:tc>
        <w:tc>
          <w:tcPr>
            <w:tcW w:w="0" w:type="auto"/>
            <w:shd w:val="clear" w:color="auto" w:fill="748A96"/>
            <w:hideMark/>
          </w:tcPr>
          <w:p w14:paraId="3919F63A" w14:textId="77777777" w:rsidR="00717184" w:rsidRPr="00C52386" w:rsidRDefault="00717184"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Description</w:t>
            </w:r>
          </w:p>
        </w:tc>
        <w:tc>
          <w:tcPr>
            <w:tcW w:w="0" w:type="auto"/>
            <w:shd w:val="clear" w:color="auto" w:fill="748A96"/>
            <w:hideMark/>
          </w:tcPr>
          <w:p w14:paraId="3407EBAF" w14:textId="77777777" w:rsidR="00717184" w:rsidRPr="00C52386" w:rsidRDefault="00717184"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Responsible Entities</w:t>
            </w:r>
          </w:p>
        </w:tc>
        <w:tc>
          <w:tcPr>
            <w:tcW w:w="0" w:type="auto"/>
            <w:shd w:val="clear" w:color="auto" w:fill="748A96"/>
            <w:hideMark/>
          </w:tcPr>
          <w:p w14:paraId="2EE95F88" w14:textId="77777777" w:rsidR="00717184" w:rsidRPr="00C52386" w:rsidRDefault="00717184"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Disaggregation</w:t>
            </w:r>
          </w:p>
        </w:tc>
        <w:tc>
          <w:tcPr>
            <w:tcW w:w="0" w:type="auto"/>
            <w:shd w:val="clear" w:color="auto" w:fill="748A96"/>
            <w:hideMark/>
          </w:tcPr>
          <w:p w14:paraId="4A02BEC5" w14:textId="77777777" w:rsidR="00717184" w:rsidRPr="00C52386" w:rsidRDefault="00717184"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Frequency</w:t>
            </w:r>
          </w:p>
        </w:tc>
        <w:tc>
          <w:tcPr>
            <w:tcW w:w="0" w:type="auto"/>
            <w:shd w:val="clear" w:color="auto" w:fill="748A96"/>
            <w:hideMark/>
          </w:tcPr>
          <w:p w14:paraId="665D67A7" w14:textId="77777777" w:rsidR="00717184" w:rsidRPr="00C52386" w:rsidRDefault="00717184"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Format</w:t>
            </w:r>
          </w:p>
        </w:tc>
        <w:tc>
          <w:tcPr>
            <w:tcW w:w="0" w:type="auto"/>
            <w:shd w:val="clear" w:color="auto" w:fill="748A96"/>
            <w:hideMark/>
          </w:tcPr>
          <w:p w14:paraId="285E5493" w14:textId="77777777" w:rsidR="00717184" w:rsidRPr="00C52386" w:rsidRDefault="00717184"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Publication Channels</w:t>
            </w:r>
          </w:p>
        </w:tc>
      </w:tr>
      <w:tr w:rsidR="00717184" w:rsidRPr="00961378" w14:paraId="3771BAE7" w14:textId="77777777" w:rsidTr="006C21F9">
        <w:tc>
          <w:tcPr>
            <w:tcW w:w="0" w:type="auto"/>
            <w:hideMark/>
          </w:tcPr>
          <w:p w14:paraId="24E2DCB7" w14:textId="77777777" w:rsidR="00717184" w:rsidRPr="00961378" w:rsidRDefault="00717184" w:rsidP="00120990">
            <w:pPr>
              <w:spacing w:after="40"/>
              <w:rPr>
                <w:rFonts w:ascii="Calibri" w:eastAsia="Times New Roman" w:hAnsi="Calibri" w:cs="Calibri"/>
                <w:color w:val="0D0D0D"/>
                <w:kern w:val="0"/>
                <w:sz w:val="20"/>
                <w:szCs w:val="20"/>
                <w:lang w:eastAsia="fr-FR"/>
                <w14:ligatures w14:val="none"/>
              </w:rPr>
            </w:pPr>
            <w:r w:rsidRPr="00961378">
              <w:rPr>
                <w:rFonts w:ascii="Calibri" w:eastAsia="Times New Roman" w:hAnsi="Calibri" w:cs="Calibri"/>
                <w:color w:val="0D0D0D"/>
                <w:kern w:val="0"/>
                <w:sz w:val="20"/>
                <w:szCs w:val="20"/>
                <w:lang w:eastAsia="fr-FR"/>
                <w14:ligatures w14:val="none"/>
              </w:rPr>
              <w:t>Company Payments to Subnational Governments</w:t>
            </w:r>
          </w:p>
        </w:tc>
        <w:tc>
          <w:tcPr>
            <w:tcW w:w="0" w:type="auto"/>
            <w:hideMark/>
          </w:tcPr>
          <w:p w14:paraId="2E3A2DAD" w14:textId="77777777" w:rsidR="00717184" w:rsidRPr="00961378" w:rsidRDefault="00717184" w:rsidP="00120990">
            <w:pPr>
              <w:spacing w:after="40"/>
              <w:rPr>
                <w:rFonts w:ascii="Calibri" w:eastAsia="Times New Roman" w:hAnsi="Calibri" w:cs="Calibri"/>
                <w:color w:val="0D0D0D"/>
                <w:kern w:val="0"/>
                <w:sz w:val="20"/>
                <w:szCs w:val="20"/>
                <w:lang w:eastAsia="fr-FR"/>
                <w14:ligatures w14:val="none"/>
              </w:rPr>
            </w:pPr>
            <w:r w:rsidRPr="00961378">
              <w:rPr>
                <w:rFonts w:ascii="Calibri" w:eastAsia="Times New Roman" w:hAnsi="Calibri" w:cs="Calibri"/>
                <w:color w:val="0D0D0D"/>
                <w:kern w:val="0"/>
                <w:sz w:val="20"/>
                <w:szCs w:val="20"/>
                <w:lang w:eastAsia="fr-FR"/>
                <w14:ligatures w14:val="none"/>
              </w:rPr>
              <w:t>Direct payments from oil, gas, and mining companies to KRG or other subnational authorities.</w:t>
            </w:r>
          </w:p>
        </w:tc>
        <w:tc>
          <w:tcPr>
            <w:tcW w:w="0" w:type="auto"/>
            <w:hideMark/>
          </w:tcPr>
          <w:p w14:paraId="08F70D7C" w14:textId="77777777" w:rsidR="00717184" w:rsidRPr="00961378" w:rsidRDefault="00717184" w:rsidP="00120990">
            <w:pPr>
              <w:spacing w:after="40"/>
              <w:rPr>
                <w:rFonts w:ascii="Calibri" w:eastAsia="Times New Roman" w:hAnsi="Calibri" w:cs="Calibri"/>
                <w:color w:val="0D0D0D"/>
                <w:kern w:val="0"/>
                <w:sz w:val="20"/>
                <w:szCs w:val="20"/>
                <w:lang w:eastAsia="fr-FR"/>
                <w14:ligatures w14:val="none"/>
              </w:rPr>
            </w:pPr>
            <w:r w:rsidRPr="00961378">
              <w:rPr>
                <w:rFonts w:ascii="Calibri" w:eastAsia="Times New Roman" w:hAnsi="Calibri" w:cs="Calibri"/>
                <w:color w:val="0D0D0D"/>
                <w:kern w:val="0"/>
                <w:sz w:val="20"/>
                <w:szCs w:val="20"/>
                <w:lang w:eastAsia="fr-FR"/>
                <w14:ligatures w14:val="none"/>
              </w:rPr>
              <w:t>Private companies, KRG Ministry of Natural Resources</w:t>
            </w:r>
          </w:p>
        </w:tc>
        <w:tc>
          <w:tcPr>
            <w:tcW w:w="0" w:type="auto"/>
            <w:hideMark/>
          </w:tcPr>
          <w:p w14:paraId="08CCF40A" w14:textId="77777777" w:rsidR="00717184" w:rsidRPr="00961378" w:rsidRDefault="00717184" w:rsidP="00120990">
            <w:pPr>
              <w:spacing w:after="40"/>
              <w:rPr>
                <w:rFonts w:ascii="Calibri" w:eastAsia="Times New Roman" w:hAnsi="Calibri" w:cs="Calibri"/>
                <w:color w:val="0D0D0D"/>
                <w:kern w:val="0"/>
                <w:sz w:val="20"/>
                <w:szCs w:val="20"/>
                <w:lang w:eastAsia="fr-FR"/>
                <w14:ligatures w14:val="none"/>
              </w:rPr>
            </w:pPr>
            <w:r w:rsidRPr="00961378">
              <w:rPr>
                <w:rFonts w:ascii="Calibri" w:eastAsia="Times New Roman" w:hAnsi="Calibri" w:cs="Calibri"/>
                <w:color w:val="0D0D0D"/>
                <w:kern w:val="0"/>
                <w:sz w:val="20"/>
                <w:szCs w:val="20"/>
                <w:lang w:eastAsia="fr-FR"/>
                <w14:ligatures w14:val="none"/>
              </w:rPr>
              <w:t>By company, payment type</w:t>
            </w:r>
          </w:p>
        </w:tc>
        <w:tc>
          <w:tcPr>
            <w:tcW w:w="0" w:type="auto"/>
            <w:hideMark/>
          </w:tcPr>
          <w:p w14:paraId="39BADAA2" w14:textId="77777777" w:rsidR="00717184" w:rsidRPr="00961378" w:rsidRDefault="00717184" w:rsidP="00120990">
            <w:pPr>
              <w:spacing w:after="40"/>
              <w:rPr>
                <w:rFonts w:ascii="Calibri" w:eastAsia="Times New Roman" w:hAnsi="Calibri" w:cs="Calibri"/>
                <w:color w:val="0D0D0D"/>
                <w:kern w:val="0"/>
                <w:sz w:val="20"/>
                <w:szCs w:val="20"/>
                <w:lang w:eastAsia="fr-FR"/>
                <w14:ligatures w14:val="none"/>
              </w:rPr>
            </w:pPr>
            <w:r w:rsidRPr="00961378">
              <w:rPr>
                <w:rFonts w:ascii="Calibri" w:eastAsia="Times New Roman" w:hAnsi="Calibri" w:cs="Calibri"/>
                <w:color w:val="0D0D0D"/>
                <w:kern w:val="0"/>
                <w:sz w:val="20"/>
                <w:szCs w:val="20"/>
                <w:lang w:eastAsia="fr-FR"/>
                <w14:ligatures w14:val="none"/>
              </w:rPr>
              <w:t>Annually</w:t>
            </w:r>
          </w:p>
        </w:tc>
        <w:tc>
          <w:tcPr>
            <w:tcW w:w="0" w:type="auto"/>
            <w:hideMark/>
          </w:tcPr>
          <w:p w14:paraId="506238C4" w14:textId="7909EBAB" w:rsidR="00717184" w:rsidRPr="00961378" w:rsidRDefault="008B6D65" w:rsidP="008B6D65">
            <w:pPr>
              <w:spacing w:after="40"/>
              <w:rPr>
                <w:rFonts w:ascii="Calibri" w:eastAsia="Times New Roman" w:hAnsi="Calibri" w:cs="Calibri"/>
                <w:color w:val="0D0D0D"/>
                <w:kern w:val="0"/>
                <w:sz w:val="20"/>
                <w:szCs w:val="20"/>
                <w:lang w:eastAsia="fr-FR"/>
                <w14:ligatures w14:val="none"/>
              </w:rPr>
            </w:pPr>
            <w:r w:rsidRPr="008B6D65">
              <w:rPr>
                <w:rFonts w:ascii="Calibri" w:eastAsia="Times New Roman" w:hAnsi="Calibri" w:cs="Calibri"/>
                <w:b/>
                <w:bCs/>
                <w:color w:val="0D0D0D"/>
                <w:kern w:val="0"/>
                <w:sz w:val="20"/>
                <w:szCs w:val="20"/>
                <w:lang w:eastAsia="fr-FR"/>
                <w14:ligatures w14:val="none"/>
              </w:rPr>
              <w:t>CSV, HTML</w:t>
            </w:r>
            <w:r w:rsidRPr="008B6D65">
              <w:rPr>
                <w:rFonts w:ascii="Calibri" w:eastAsia="Times New Roman" w:hAnsi="Calibri" w:cs="Calibri"/>
                <w:color w:val="0D0D0D"/>
                <w:kern w:val="0"/>
                <w:sz w:val="20"/>
                <w:szCs w:val="20"/>
                <w:lang w:eastAsia="fr-FR"/>
                <w14:ligatures w14:val="none"/>
              </w:rPr>
              <w:t xml:space="preserve"> </w:t>
            </w:r>
          </w:p>
        </w:tc>
        <w:tc>
          <w:tcPr>
            <w:tcW w:w="0" w:type="auto"/>
            <w:hideMark/>
          </w:tcPr>
          <w:p w14:paraId="63288EB8" w14:textId="4158C94F" w:rsidR="00717184" w:rsidRPr="00961378" w:rsidRDefault="008C2905" w:rsidP="00120990">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717184" w:rsidRPr="00961378">
              <w:rPr>
                <w:rFonts w:ascii="Calibri" w:eastAsia="Times New Roman" w:hAnsi="Calibri" w:cs="Calibri"/>
                <w:color w:val="0D0D0D"/>
                <w:kern w:val="0"/>
                <w:sz w:val="20"/>
                <w:szCs w:val="20"/>
                <w:lang w:eastAsia="fr-FR"/>
                <w14:ligatures w14:val="none"/>
              </w:rPr>
              <w:t xml:space="preserve"> Iraq portal, </w:t>
            </w:r>
            <w:r w:rsidR="00073041">
              <w:rPr>
                <w:rFonts w:ascii="Calibri" w:eastAsia="Times New Roman" w:hAnsi="Calibri" w:cs="Calibri"/>
                <w:color w:val="0D0D0D"/>
                <w:kern w:val="0"/>
                <w:sz w:val="20"/>
                <w:szCs w:val="20"/>
                <w:lang w:eastAsia="fr-FR"/>
                <w14:ligatures w14:val="none"/>
              </w:rPr>
              <w:t>MoF website</w:t>
            </w:r>
          </w:p>
          <w:p w14:paraId="25F808AE" w14:textId="77777777" w:rsidR="00717184" w:rsidRPr="00961378" w:rsidRDefault="00717184" w:rsidP="00120990">
            <w:pPr>
              <w:spacing w:after="40"/>
              <w:rPr>
                <w:rFonts w:ascii="Calibri" w:eastAsia="Times New Roman" w:hAnsi="Calibri" w:cs="Calibri"/>
                <w:color w:val="0D0D0D"/>
                <w:kern w:val="0"/>
                <w:sz w:val="20"/>
                <w:szCs w:val="20"/>
                <w:lang w:eastAsia="fr-FR"/>
                <w14:ligatures w14:val="none"/>
              </w:rPr>
            </w:pPr>
          </w:p>
        </w:tc>
      </w:tr>
      <w:tr w:rsidR="00717184" w:rsidRPr="00961378" w14:paraId="46447228" w14:textId="77777777" w:rsidTr="006C21F9">
        <w:tc>
          <w:tcPr>
            <w:tcW w:w="0" w:type="auto"/>
            <w:hideMark/>
          </w:tcPr>
          <w:p w14:paraId="211BF288" w14:textId="77777777" w:rsidR="00717184" w:rsidRPr="00961378" w:rsidRDefault="00717184" w:rsidP="00120990">
            <w:pPr>
              <w:spacing w:after="40"/>
              <w:rPr>
                <w:rFonts w:ascii="Calibri" w:eastAsia="Times New Roman" w:hAnsi="Calibri" w:cs="Calibri"/>
                <w:color w:val="0D0D0D"/>
                <w:kern w:val="0"/>
                <w:sz w:val="20"/>
                <w:szCs w:val="20"/>
                <w:lang w:eastAsia="fr-FR"/>
                <w14:ligatures w14:val="none"/>
              </w:rPr>
            </w:pPr>
            <w:r w:rsidRPr="00961378">
              <w:rPr>
                <w:rFonts w:ascii="Calibri" w:eastAsia="Times New Roman" w:hAnsi="Calibri" w:cs="Calibri"/>
                <w:color w:val="0D0D0D"/>
                <w:kern w:val="0"/>
                <w:sz w:val="20"/>
                <w:szCs w:val="20"/>
                <w:lang w:eastAsia="fr-FR"/>
                <w14:ligatures w14:val="none"/>
              </w:rPr>
              <w:t>Government Receipts from Subnational Payments</w:t>
            </w:r>
          </w:p>
        </w:tc>
        <w:tc>
          <w:tcPr>
            <w:tcW w:w="0" w:type="auto"/>
            <w:hideMark/>
          </w:tcPr>
          <w:p w14:paraId="4834113D" w14:textId="77777777" w:rsidR="00717184" w:rsidRPr="00961378" w:rsidRDefault="00717184" w:rsidP="00120990">
            <w:pPr>
              <w:spacing w:after="40"/>
              <w:rPr>
                <w:rFonts w:ascii="Calibri" w:eastAsia="Times New Roman" w:hAnsi="Calibri" w:cs="Calibri"/>
                <w:color w:val="0D0D0D"/>
                <w:kern w:val="0"/>
                <w:sz w:val="20"/>
                <w:szCs w:val="20"/>
                <w:lang w:eastAsia="fr-FR"/>
                <w14:ligatures w14:val="none"/>
              </w:rPr>
            </w:pPr>
            <w:r w:rsidRPr="00961378">
              <w:rPr>
                <w:rFonts w:ascii="Calibri" w:eastAsia="Times New Roman" w:hAnsi="Calibri" w:cs="Calibri"/>
                <w:color w:val="0D0D0D"/>
                <w:kern w:val="0"/>
                <w:sz w:val="20"/>
                <w:szCs w:val="20"/>
                <w:lang w:eastAsia="fr-FR"/>
                <w14:ligatures w14:val="none"/>
              </w:rPr>
              <w:t>Disclosures of revenues received from companies by subnational governments.</w:t>
            </w:r>
          </w:p>
        </w:tc>
        <w:tc>
          <w:tcPr>
            <w:tcW w:w="0" w:type="auto"/>
            <w:hideMark/>
          </w:tcPr>
          <w:p w14:paraId="10863617" w14:textId="77777777" w:rsidR="00717184" w:rsidRPr="00961378" w:rsidRDefault="00717184" w:rsidP="00120990">
            <w:pPr>
              <w:spacing w:after="40"/>
              <w:rPr>
                <w:rFonts w:ascii="Calibri" w:eastAsia="Times New Roman" w:hAnsi="Calibri" w:cs="Calibri"/>
                <w:color w:val="0D0D0D"/>
                <w:kern w:val="0"/>
                <w:sz w:val="20"/>
                <w:szCs w:val="20"/>
                <w:lang w:eastAsia="fr-FR"/>
                <w14:ligatures w14:val="none"/>
              </w:rPr>
            </w:pPr>
            <w:r w:rsidRPr="00961378">
              <w:rPr>
                <w:rFonts w:ascii="Calibri" w:eastAsia="Times New Roman" w:hAnsi="Calibri" w:cs="Calibri"/>
                <w:color w:val="0D0D0D"/>
                <w:kern w:val="0"/>
                <w:sz w:val="20"/>
                <w:szCs w:val="20"/>
                <w:lang w:eastAsia="fr-FR"/>
                <w14:ligatures w14:val="none"/>
              </w:rPr>
              <w:t>KRG Ministry of Finance, KRG Ministry of Natural Resources</w:t>
            </w:r>
          </w:p>
        </w:tc>
        <w:tc>
          <w:tcPr>
            <w:tcW w:w="0" w:type="auto"/>
            <w:hideMark/>
          </w:tcPr>
          <w:p w14:paraId="07D5DD89" w14:textId="77777777" w:rsidR="00717184" w:rsidRPr="00961378" w:rsidRDefault="00717184" w:rsidP="00120990">
            <w:pPr>
              <w:spacing w:after="40"/>
              <w:rPr>
                <w:rFonts w:ascii="Calibri" w:eastAsia="Times New Roman" w:hAnsi="Calibri" w:cs="Calibri"/>
                <w:color w:val="0D0D0D"/>
                <w:kern w:val="0"/>
                <w:sz w:val="20"/>
                <w:szCs w:val="20"/>
                <w:lang w:eastAsia="fr-FR"/>
                <w14:ligatures w14:val="none"/>
              </w:rPr>
            </w:pPr>
            <w:r w:rsidRPr="00961378">
              <w:rPr>
                <w:rFonts w:ascii="Calibri" w:eastAsia="Times New Roman" w:hAnsi="Calibri" w:cs="Calibri"/>
                <w:color w:val="0D0D0D"/>
                <w:kern w:val="0"/>
                <w:sz w:val="20"/>
                <w:szCs w:val="20"/>
                <w:lang w:eastAsia="fr-FR"/>
                <w14:ligatures w14:val="none"/>
              </w:rPr>
              <w:t>By payment type, recipient agency</w:t>
            </w:r>
          </w:p>
        </w:tc>
        <w:tc>
          <w:tcPr>
            <w:tcW w:w="0" w:type="auto"/>
            <w:hideMark/>
          </w:tcPr>
          <w:p w14:paraId="32A087B1" w14:textId="77777777" w:rsidR="00717184" w:rsidRPr="00961378" w:rsidRDefault="00717184" w:rsidP="00120990">
            <w:pPr>
              <w:spacing w:after="40"/>
              <w:rPr>
                <w:rFonts w:ascii="Calibri" w:eastAsia="Times New Roman" w:hAnsi="Calibri" w:cs="Calibri"/>
                <w:color w:val="0D0D0D"/>
                <w:kern w:val="0"/>
                <w:sz w:val="20"/>
                <w:szCs w:val="20"/>
                <w:lang w:eastAsia="fr-FR"/>
                <w14:ligatures w14:val="none"/>
              </w:rPr>
            </w:pPr>
            <w:r w:rsidRPr="00961378">
              <w:rPr>
                <w:rFonts w:ascii="Calibri" w:eastAsia="Times New Roman" w:hAnsi="Calibri" w:cs="Calibri"/>
                <w:color w:val="0D0D0D"/>
                <w:kern w:val="0"/>
                <w:sz w:val="20"/>
                <w:szCs w:val="20"/>
                <w:lang w:eastAsia="fr-FR"/>
                <w14:ligatures w14:val="none"/>
              </w:rPr>
              <w:t>Quarterly &amp;  Annually</w:t>
            </w:r>
          </w:p>
        </w:tc>
        <w:tc>
          <w:tcPr>
            <w:tcW w:w="0" w:type="auto"/>
            <w:hideMark/>
          </w:tcPr>
          <w:p w14:paraId="5382709C" w14:textId="0CA2ECBF" w:rsidR="00717184" w:rsidRPr="00961378" w:rsidRDefault="00D76399" w:rsidP="00120990">
            <w:pPr>
              <w:spacing w:after="40"/>
              <w:rPr>
                <w:rFonts w:ascii="Calibri" w:eastAsia="Times New Roman" w:hAnsi="Calibri" w:cs="Calibri"/>
                <w:color w:val="0D0D0D"/>
                <w:kern w:val="0"/>
                <w:sz w:val="20"/>
                <w:szCs w:val="20"/>
                <w:lang w:eastAsia="fr-FR"/>
                <w14:ligatures w14:val="none"/>
              </w:rPr>
            </w:pPr>
            <w:r w:rsidRPr="008B6D65">
              <w:rPr>
                <w:rFonts w:ascii="Calibri" w:eastAsia="Times New Roman" w:hAnsi="Calibri" w:cs="Calibri"/>
                <w:b/>
                <w:bCs/>
                <w:color w:val="0D0D0D"/>
                <w:kern w:val="0"/>
                <w:sz w:val="20"/>
                <w:szCs w:val="20"/>
                <w:lang w:eastAsia="fr-FR"/>
                <w14:ligatures w14:val="none"/>
              </w:rPr>
              <w:t>CSV, HTML</w:t>
            </w:r>
          </w:p>
        </w:tc>
        <w:tc>
          <w:tcPr>
            <w:tcW w:w="0" w:type="auto"/>
            <w:hideMark/>
          </w:tcPr>
          <w:p w14:paraId="4E26EC4F" w14:textId="6DC1D2E8" w:rsidR="00717184" w:rsidRPr="00961378" w:rsidRDefault="008C2905" w:rsidP="00120990">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717184" w:rsidRPr="00961378">
              <w:rPr>
                <w:rFonts w:ascii="Calibri" w:eastAsia="Times New Roman" w:hAnsi="Calibri" w:cs="Calibri"/>
                <w:color w:val="0D0D0D"/>
                <w:kern w:val="0"/>
                <w:sz w:val="20"/>
                <w:szCs w:val="20"/>
                <w:lang w:eastAsia="fr-FR"/>
                <w14:ligatures w14:val="none"/>
              </w:rPr>
              <w:t xml:space="preserve"> Iraq portal, KRG </w:t>
            </w:r>
            <w:r w:rsidR="00D76399">
              <w:rPr>
                <w:rFonts w:ascii="Calibri" w:eastAsia="Times New Roman" w:hAnsi="Calibri" w:cs="Calibri"/>
                <w:color w:val="0D0D0D"/>
                <w:kern w:val="0"/>
                <w:sz w:val="20"/>
                <w:szCs w:val="20"/>
                <w:lang w:eastAsia="fr-FR"/>
                <w14:ligatures w14:val="none"/>
              </w:rPr>
              <w:t>MoF</w:t>
            </w:r>
            <w:r w:rsidR="00717184" w:rsidRPr="00961378">
              <w:rPr>
                <w:rFonts w:ascii="Calibri" w:eastAsia="Times New Roman" w:hAnsi="Calibri" w:cs="Calibri"/>
                <w:color w:val="0D0D0D"/>
                <w:kern w:val="0"/>
                <w:sz w:val="20"/>
                <w:szCs w:val="20"/>
                <w:lang w:eastAsia="fr-FR"/>
                <w14:ligatures w14:val="none"/>
              </w:rPr>
              <w:t xml:space="preserve"> website</w:t>
            </w:r>
          </w:p>
        </w:tc>
      </w:tr>
      <w:tr w:rsidR="00717184" w:rsidRPr="00C15756" w14:paraId="613E161E" w14:textId="77777777" w:rsidTr="006C21F9">
        <w:tc>
          <w:tcPr>
            <w:tcW w:w="0" w:type="auto"/>
            <w:hideMark/>
          </w:tcPr>
          <w:p w14:paraId="4ADC521B" w14:textId="77777777" w:rsidR="00717184" w:rsidRPr="00961378" w:rsidRDefault="00717184" w:rsidP="00120990">
            <w:pPr>
              <w:spacing w:after="40"/>
              <w:rPr>
                <w:rFonts w:ascii="Calibri" w:eastAsia="Times New Roman" w:hAnsi="Calibri" w:cs="Calibri"/>
                <w:color w:val="0D0D0D"/>
                <w:kern w:val="0"/>
                <w:sz w:val="20"/>
                <w:szCs w:val="20"/>
                <w:lang w:eastAsia="fr-FR"/>
                <w14:ligatures w14:val="none"/>
              </w:rPr>
            </w:pPr>
            <w:r w:rsidRPr="00961378">
              <w:rPr>
                <w:rFonts w:ascii="Calibri" w:eastAsia="Times New Roman" w:hAnsi="Calibri" w:cs="Calibri"/>
                <w:color w:val="0D0D0D"/>
                <w:kern w:val="0"/>
                <w:sz w:val="20"/>
                <w:szCs w:val="20"/>
                <w:lang w:eastAsia="fr-FR"/>
                <w14:ligatures w14:val="none"/>
              </w:rPr>
              <w:t>Oil-Backed Loans in the KRG</w:t>
            </w:r>
          </w:p>
        </w:tc>
        <w:tc>
          <w:tcPr>
            <w:tcW w:w="0" w:type="auto"/>
            <w:hideMark/>
          </w:tcPr>
          <w:p w14:paraId="0146AD07" w14:textId="77777777" w:rsidR="00717184" w:rsidRPr="00961378" w:rsidRDefault="00717184" w:rsidP="00120990">
            <w:pPr>
              <w:spacing w:after="40"/>
              <w:rPr>
                <w:rFonts w:ascii="Calibri" w:eastAsia="Times New Roman" w:hAnsi="Calibri" w:cs="Calibri"/>
                <w:color w:val="0D0D0D"/>
                <w:kern w:val="0"/>
                <w:sz w:val="20"/>
                <w:szCs w:val="20"/>
                <w:lang w:eastAsia="fr-FR"/>
                <w14:ligatures w14:val="none"/>
              </w:rPr>
            </w:pPr>
            <w:r w:rsidRPr="00961378">
              <w:rPr>
                <w:rFonts w:ascii="Calibri" w:eastAsia="Times New Roman" w:hAnsi="Calibri" w:cs="Calibri"/>
                <w:color w:val="0D0D0D"/>
                <w:kern w:val="0"/>
                <w:sz w:val="20"/>
                <w:szCs w:val="20"/>
                <w:lang w:eastAsia="fr-FR"/>
                <w14:ligatures w14:val="none"/>
              </w:rPr>
              <w:t>Disclosure of loan agreements secured through future oil sales.</w:t>
            </w:r>
          </w:p>
        </w:tc>
        <w:tc>
          <w:tcPr>
            <w:tcW w:w="0" w:type="auto"/>
            <w:hideMark/>
          </w:tcPr>
          <w:p w14:paraId="0F68A982" w14:textId="77777777" w:rsidR="00717184" w:rsidRPr="00961378" w:rsidRDefault="00717184" w:rsidP="00120990">
            <w:pPr>
              <w:spacing w:after="40"/>
              <w:rPr>
                <w:rFonts w:ascii="Calibri" w:eastAsia="Times New Roman" w:hAnsi="Calibri" w:cs="Calibri"/>
                <w:color w:val="0D0D0D"/>
                <w:kern w:val="0"/>
                <w:sz w:val="20"/>
                <w:szCs w:val="20"/>
                <w:lang w:eastAsia="fr-FR"/>
                <w14:ligatures w14:val="none"/>
              </w:rPr>
            </w:pPr>
            <w:r w:rsidRPr="00961378">
              <w:rPr>
                <w:rFonts w:ascii="Calibri" w:eastAsia="Times New Roman" w:hAnsi="Calibri" w:cs="Calibri"/>
                <w:color w:val="0D0D0D"/>
                <w:kern w:val="0"/>
                <w:sz w:val="20"/>
                <w:szCs w:val="20"/>
                <w:lang w:eastAsia="fr-FR"/>
                <w14:ligatures w14:val="none"/>
              </w:rPr>
              <w:t>KRG Ministry of Natural Resources, Ministry of Finance</w:t>
            </w:r>
          </w:p>
        </w:tc>
        <w:tc>
          <w:tcPr>
            <w:tcW w:w="0" w:type="auto"/>
            <w:hideMark/>
          </w:tcPr>
          <w:p w14:paraId="3D3B8A0A" w14:textId="77777777" w:rsidR="00717184" w:rsidRPr="00961378" w:rsidRDefault="00717184" w:rsidP="00120990">
            <w:pPr>
              <w:spacing w:after="40"/>
              <w:rPr>
                <w:rFonts w:ascii="Calibri" w:eastAsia="Times New Roman" w:hAnsi="Calibri" w:cs="Calibri"/>
                <w:color w:val="0D0D0D"/>
                <w:kern w:val="0"/>
                <w:sz w:val="20"/>
                <w:szCs w:val="20"/>
                <w:lang w:eastAsia="fr-FR"/>
                <w14:ligatures w14:val="none"/>
              </w:rPr>
            </w:pPr>
            <w:r w:rsidRPr="00961378">
              <w:rPr>
                <w:rFonts w:ascii="Calibri" w:eastAsia="Times New Roman" w:hAnsi="Calibri" w:cs="Calibri"/>
                <w:color w:val="0D0D0D"/>
                <w:kern w:val="0"/>
                <w:sz w:val="20"/>
                <w:szCs w:val="20"/>
                <w:lang w:eastAsia="fr-FR"/>
                <w14:ligatures w14:val="none"/>
              </w:rPr>
              <w:t>By lender, loan amount</w:t>
            </w:r>
          </w:p>
        </w:tc>
        <w:tc>
          <w:tcPr>
            <w:tcW w:w="0" w:type="auto"/>
            <w:hideMark/>
          </w:tcPr>
          <w:p w14:paraId="302B6E40" w14:textId="77777777" w:rsidR="00717184" w:rsidRPr="00961378" w:rsidRDefault="00717184" w:rsidP="00120990">
            <w:pPr>
              <w:spacing w:after="40"/>
              <w:rPr>
                <w:rFonts w:ascii="Calibri" w:eastAsia="Times New Roman" w:hAnsi="Calibri" w:cs="Calibri"/>
                <w:color w:val="0D0D0D"/>
                <w:kern w:val="0"/>
                <w:sz w:val="20"/>
                <w:szCs w:val="20"/>
                <w:lang w:eastAsia="fr-FR"/>
                <w14:ligatures w14:val="none"/>
              </w:rPr>
            </w:pPr>
            <w:r w:rsidRPr="00961378">
              <w:rPr>
                <w:rFonts w:ascii="Calibri" w:eastAsia="Times New Roman" w:hAnsi="Calibri" w:cs="Calibri"/>
                <w:color w:val="0D0D0D"/>
                <w:kern w:val="0"/>
                <w:sz w:val="20"/>
                <w:szCs w:val="20"/>
                <w:lang w:eastAsia="fr-FR"/>
                <w14:ligatures w14:val="none"/>
              </w:rPr>
              <w:t>Annually &amp; Updates</w:t>
            </w:r>
          </w:p>
        </w:tc>
        <w:tc>
          <w:tcPr>
            <w:tcW w:w="0" w:type="auto"/>
            <w:hideMark/>
          </w:tcPr>
          <w:p w14:paraId="0D31497F" w14:textId="62089707" w:rsidR="00717184" w:rsidRPr="00961378" w:rsidRDefault="00D76399" w:rsidP="00120990">
            <w:pPr>
              <w:spacing w:after="40"/>
              <w:rPr>
                <w:rFonts w:ascii="Calibri" w:eastAsia="Times New Roman" w:hAnsi="Calibri" w:cs="Calibri"/>
                <w:color w:val="0D0D0D"/>
                <w:kern w:val="0"/>
                <w:sz w:val="20"/>
                <w:szCs w:val="20"/>
                <w:lang w:eastAsia="fr-FR"/>
                <w14:ligatures w14:val="none"/>
              </w:rPr>
            </w:pPr>
            <w:r w:rsidRPr="008B6D65">
              <w:rPr>
                <w:rFonts w:ascii="Calibri" w:eastAsia="Times New Roman" w:hAnsi="Calibri" w:cs="Calibri"/>
                <w:b/>
                <w:bCs/>
                <w:color w:val="0D0D0D"/>
                <w:kern w:val="0"/>
                <w:sz w:val="20"/>
                <w:szCs w:val="20"/>
                <w:lang w:eastAsia="fr-FR"/>
                <w14:ligatures w14:val="none"/>
              </w:rPr>
              <w:t>CSV, HTML</w:t>
            </w:r>
          </w:p>
        </w:tc>
        <w:tc>
          <w:tcPr>
            <w:tcW w:w="0" w:type="auto"/>
            <w:hideMark/>
          </w:tcPr>
          <w:p w14:paraId="36DD421D" w14:textId="05F1BAFD" w:rsidR="00717184" w:rsidRPr="00474E5A" w:rsidRDefault="008C2905" w:rsidP="00120990">
            <w:pPr>
              <w:spacing w:after="40"/>
              <w:rPr>
                <w:rFonts w:ascii="Calibri" w:eastAsia="Times New Roman" w:hAnsi="Calibri" w:cs="Calibri"/>
                <w:color w:val="0D0D0D"/>
                <w:kern w:val="0"/>
                <w:sz w:val="20"/>
                <w:szCs w:val="20"/>
                <w:lang w:val="da-DK" w:eastAsia="fr-FR"/>
                <w14:ligatures w14:val="none"/>
              </w:rPr>
            </w:pPr>
            <w:r>
              <w:rPr>
                <w:rFonts w:ascii="Calibri" w:eastAsia="Times New Roman" w:hAnsi="Calibri" w:cs="Calibri"/>
                <w:color w:val="0D0D0D"/>
                <w:kern w:val="0"/>
                <w:sz w:val="20"/>
                <w:szCs w:val="20"/>
                <w:lang w:eastAsia="fr-FR"/>
                <w14:ligatures w14:val="none"/>
              </w:rPr>
              <w:t>NRTC</w:t>
            </w:r>
            <w:r w:rsidR="00717184" w:rsidRPr="00474E5A">
              <w:rPr>
                <w:rFonts w:ascii="Calibri" w:eastAsia="Times New Roman" w:hAnsi="Calibri" w:cs="Calibri"/>
                <w:color w:val="0D0D0D"/>
                <w:kern w:val="0"/>
                <w:sz w:val="20"/>
                <w:szCs w:val="20"/>
                <w:lang w:val="da-DK" w:eastAsia="fr-FR"/>
                <w14:ligatures w14:val="none"/>
              </w:rPr>
              <w:t xml:space="preserve"> Iraq portal, KRG website</w:t>
            </w:r>
          </w:p>
        </w:tc>
      </w:tr>
      <w:tr w:rsidR="00717184" w:rsidRPr="00C15756" w14:paraId="552F12EB" w14:textId="77777777" w:rsidTr="006C21F9">
        <w:tc>
          <w:tcPr>
            <w:tcW w:w="0" w:type="auto"/>
            <w:hideMark/>
          </w:tcPr>
          <w:p w14:paraId="25E376F5" w14:textId="77777777" w:rsidR="00717184" w:rsidRPr="00961378" w:rsidRDefault="00717184" w:rsidP="00120990">
            <w:pPr>
              <w:spacing w:after="40"/>
              <w:rPr>
                <w:rFonts w:ascii="Calibri" w:eastAsia="Times New Roman" w:hAnsi="Calibri" w:cs="Calibri"/>
                <w:color w:val="0D0D0D"/>
                <w:kern w:val="0"/>
                <w:sz w:val="20"/>
                <w:szCs w:val="20"/>
                <w:lang w:eastAsia="fr-FR"/>
                <w14:ligatures w14:val="none"/>
              </w:rPr>
            </w:pPr>
            <w:r w:rsidRPr="00961378">
              <w:rPr>
                <w:rFonts w:ascii="Calibri" w:eastAsia="Times New Roman" w:hAnsi="Calibri" w:cs="Calibri"/>
                <w:color w:val="0D0D0D"/>
                <w:kern w:val="0"/>
                <w:sz w:val="20"/>
                <w:szCs w:val="20"/>
                <w:lang w:eastAsia="fr-FR"/>
                <w14:ligatures w14:val="none"/>
              </w:rPr>
              <w:t>KRG Production &amp; Export Data</w:t>
            </w:r>
          </w:p>
        </w:tc>
        <w:tc>
          <w:tcPr>
            <w:tcW w:w="0" w:type="auto"/>
            <w:hideMark/>
          </w:tcPr>
          <w:p w14:paraId="22576AB9" w14:textId="77777777" w:rsidR="00717184" w:rsidRPr="00961378" w:rsidRDefault="00717184" w:rsidP="00120990">
            <w:pPr>
              <w:spacing w:after="40"/>
              <w:rPr>
                <w:rFonts w:ascii="Calibri" w:eastAsia="Times New Roman" w:hAnsi="Calibri" w:cs="Calibri"/>
                <w:color w:val="0D0D0D"/>
                <w:kern w:val="0"/>
                <w:sz w:val="20"/>
                <w:szCs w:val="20"/>
                <w:lang w:eastAsia="fr-FR"/>
                <w14:ligatures w14:val="none"/>
              </w:rPr>
            </w:pPr>
            <w:r w:rsidRPr="00961378">
              <w:rPr>
                <w:rFonts w:ascii="Calibri" w:eastAsia="Times New Roman" w:hAnsi="Calibri" w:cs="Calibri"/>
                <w:color w:val="0D0D0D"/>
                <w:kern w:val="0"/>
                <w:sz w:val="20"/>
                <w:szCs w:val="20"/>
                <w:lang w:eastAsia="fr-FR"/>
                <w14:ligatures w14:val="none"/>
              </w:rPr>
              <w:t>Disclosures of oil production and export volumes in the Kurdistan Region.</w:t>
            </w:r>
          </w:p>
        </w:tc>
        <w:tc>
          <w:tcPr>
            <w:tcW w:w="0" w:type="auto"/>
            <w:hideMark/>
          </w:tcPr>
          <w:p w14:paraId="0EA60D42" w14:textId="77777777" w:rsidR="00717184" w:rsidRPr="00961378" w:rsidRDefault="00717184" w:rsidP="00120990">
            <w:pPr>
              <w:spacing w:after="40"/>
              <w:rPr>
                <w:rFonts w:ascii="Calibri" w:eastAsia="Times New Roman" w:hAnsi="Calibri" w:cs="Calibri"/>
                <w:color w:val="0D0D0D"/>
                <w:kern w:val="0"/>
                <w:sz w:val="20"/>
                <w:szCs w:val="20"/>
                <w:lang w:eastAsia="fr-FR"/>
                <w14:ligatures w14:val="none"/>
              </w:rPr>
            </w:pPr>
            <w:r w:rsidRPr="00961378">
              <w:rPr>
                <w:rFonts w:ascii="Calibri" w:eastAsia="Times New Roman" w:hAnsi="Calibri" w:cs="Calibri"/>
                <w:color w:val="0D0D0D"/>
                <w:kern w:val="0"/>
                <w:sz w:val="20"/>
                <w:szCs w:val="20"/>
                <w:lang w:eastAsia="fr-FR"/>
                <w14:ligatures w14:val="none"/>
              </w:rPr>
              <w:t>KRG Ministry of Natural Resources</w:t>
            </w:r>
          </w:p>
        </w:tc>
        <w:tc>
          <w:tcPr>
            <w:tcW w:w="0" w:type="auto"/>
            <w:hideMark/>
          </w:tcPr>
          <w:p w14:paraId="13574C7C" w14:textId="77777777" w:rsidR="00717184" w:rsidRPr="00961378" w:rsidRDefault="00717184" w:rsidP="00120990">
            <w:pPr>
              <w:spacing w:after="40"/>
              <w:rPr>
                <w:rFonts w:ascii="Calibri" w:eastAsia="Times New Roman" w:hAnsi="Calibri" w:cs="Calibri"/>
                <w:color w:val="0D0D0D"/>
                <w:kern w:val="0"/>
                <w:sz w:val="20"/>
                <w:szCs w:val="20"/>
                <w:lang w:eastAsia="fr-FR"/>
                <w14:ligatures w14:val="none"/>
              </w:rPr>
            </w:pPr>
            <w:r w:rsidRPr="00961378">
              <w:rPr>
                <w:rFonts w:ascii="Calibri" w:eastAsia="Times New Roman" w:hAnsi="Calibri" w:cs="Calibri"/>
                <w:color w:val="0D0D0D"/>
                <w:kern w:val="0"/>
                <w:sz w:val="20"/>
                <w:szCs w:val="20"/>
                <w:lang w:eastAsia="fr-FR"/>
                <w14:ligatures w14:val="none"/>
              </w:rPr>
              <w:t>By project, volume, destination</w:t>
            </w:r>
          </w:p>
        </w:tc>
        <w:tc>
          <w:tcPr>
            <w:tcW w:w="0" w:type="auto"/>
            <w:hideMark/>
          </w:tcPr>
          <w:p w14:paraId="171DEAAB" w14:textId="77777777" w:rsidR="00717184" w:rsidRPr="00961378" w:rsidRDefault="00717184" w:rsidP="00120990">
            <w:pPr>
              <w:spacing w:after="40"/>
              <w:rPr>
                <w:rFonts w:ascii="Calibri" w:eastAsia="Times New Roman" w:hAnsi="Calibri" w:cs="Calibri"/>
                <w:color w:val="0D0D0D"/>
                <w:kern w:val="0"/>
                <w:sz w:val="20"/>
                <w:szCs w:val="20"/>
                <w:lang w:eastAsia="fr-FR"/>
                <w14:ligatures w14:val="none"/>
              </w:rPr>
            </w:pPr>
            <w:r w:rsidRPr="00961378">
              <w:rPr>
                <w:rFonts w:ascii="Calibri" w:eastAsia="Times New Roman" w:hAnsi="Calibri" w:cs="Calibri"/>
                <w:color w:val="0D0D0D"/>
                <w:kern w:val="0"/>
                <w:sz w:val="20"/>
                <w:szCs w:val="20"/>
                <w:lang w:eastAsia="fr-FR"/>
                <w14:ligatures w14:val="none"/>
              </w:rPr>
              <w:t>Annually</w:t>
            </w:r>
          </w:p>
        </w:tc>
        <w:tc>
          <w:tcPr>
            <w:tcW w:w="0" w:type="auto"/>
            <w:hideMark/>
          </w:tcPr>
          <w:p w14:paraId="71C06FBE" w14:textId="7E96C7D3" w:rsidR="00717184" w:rsidRPr="00961378" w:rsidRDefault="00D76399" w:rsidP="00120990">
            <w:pPr>
              <w:spacing w:after="40"/>
              <w:rPr>
                <w:rFonts w:ascii="Calibri" w:eastAsia="Times New Roman" w:hAnsi="Calibri" w:cs="Calibri"/>
                <w:color w:val="0D0D0D"/>
                <w:kern w:val="0"/>
                <w:sz w:val="20"/>
                <w:szCs w:val="20"/>
                <w:lang w:eastAsia="fr-FR"/>
                <w14:ligatures w14:val="none"/>
              </w:rPr>
            </w:pPr>
            <w:r w:rsidRPr="008B6D65">
              <w:rPr>
                <w:rFonts w:ascii="Calibri" w:eastAsia="Times New Roman" w:hAnsi="Calibri" w:cs="Calibri"/>
                <w:b/>
                <w:bCs/>
                <w:color w:val="0D0D0D"/>
                <w:kern w:val="0"/>
                <w:sz w:val="20"/>
                <w:szCs w:val="20"/>
                <w:lang w:eastAsia="fr-FR"/>
                <w14:ligatures w14:val="none"/>
              </w:rPr>
              <w:t>CSV, HTML</w:t>
            </w:r>
          </w:p>
        </w:tc>
        <w:tc>
          <w:tcPr>
            <w:tcW w:w="0" w:type="auto"/>
            <w:hideMark/>
          </w:tcPr>
          <w:p w14:paraId="7E8BD31E" w14:textId="64FE30C0" w:rsidR="00717184" w:rsidRPr="00474E5A" w:rsidRDefault="008C2905" w:rsidP="00120990">
            <w:pPr>
              <w:spacing w:after="40"/>
              <w:rPr>
                <w:rFonts w:ascii="Calibri" w:eastAsia="Times New Roman" w:hAnsi="Calibri" w:cs="Calibri"/>
                <w:color w:val="0D0D0D"/>
                <w:kern w:val="0"/>
                <w:sz w:val="20"/>
                <w:szCs w:val="20"/>
                <w:lang w:val="da-DK" w:eastAsia="fr-FR"/>
                <w14:ligatures w14:val="none"/>
              </w:rPr>
            </w:pPr>
            <w:r>
              <w:rPr>
                <w:rFonts w:ascii="Calibri" w:eastAsia="Times New Roman" w:hAnsi="Calibri" w:cs="Calibri"/>
                <w:color w:val="0D0D0D"/>
                <w:kern w:val="0"/>
                <w:sz w:val="20"/>
                <w:szCs w:val="20"/>
                <w:lang w:eastAsia="fr-FR"/>
                <w14:ligatures w14:val="none"/>
              </w:rPr>
              <w:t>NRTC</w:t>
            </w:r>
            <w:r w:rsidR="00717184" w:rsidRPr="00474E5A">
              <w:rPr>
                <w:rFonts w:ascii="Calibri" w:eastAsia="Times New Roman" w:hAnsi="Calibri" w:cs="Calibri"/>
                <w:color w:val="0D0D0D"/>
                <w:kern w:val="0"/>
                <w:sz w:val="20"/>
                <w:szCs w:val="20"/>
                <w:lang w:val="da-DK" w:eastAsia="fr-FR"/>
                <w14:ligatures w14:val="none"/>
              </w:rPr>
              <w:t xml:space="preserve"> Iraq portal, KRG website</w:t>
            </w:r>
          </w:p>
        </w:tc>
      </w:tr>
    </w:tbl>
    <w:p w14:paraId="09F5A64E" w14:textId="77777777" w:rsidR="00717184" w:rsidRPr="00474E5A" w:rsidRDefault="00717184" w:rsidP="00717184">
      <w:pPr>
        <w:rPr>
          <w:rFonts w:ascii="Kohinoor Devanagari" w:eastAsia="Times New Roman" w:hAnsi="Kohinoor Devanagari" w:cs="Kohinoor Devanagari"/>
          <w:b/>
          <w:bCs/>
          <w:color w:val="0D0D0D"/>
          <w:kern w:val="0"/>
          <w:sz w:val="22"/>
          <w:szCs w:val="22"/>
          <w:lang w:val="da-DK" w:eastAsia="fr-FR"/>
          <w14:ligatures w14:val="none"/>
        </w:rPr>
      </w:pPr>
    </w:p>
    <w:p w14:paraId="738B089B" w14:textId="36307B2B" w:rsidR="00717184" w:rsidRPr="0058697C" w:rsidRDefault="00802B2B" w:rsidP="00717184">
      <w:pPr>
        <w:pStyle w:val="Heading4"/>
        <w:spacing w:before="120" w:after="120"/>
        <w:rPr>
          <w:rFonts w:ascii="Kohinoor Devanagari" w:hAnsi="Kohinoor Devanagari" w:cs="Kohinoor Devanagari"/>
          <w:b/>
          <w:bCs/>
          <w:sz w:val="22"/>
          <w:szCs w:val="22"/>
        </w:rPr>
      </w:pPr>
      <w:r>
        <w:rPr>
          <w:rFonts w:ascii="Kohinoor Devanagari" w:hAnsi="Kohinoor Devanagari" w:cs="Kohinoor Devanagari"/>
          <w:b/>
          <w:bCs/>
          <w:sz w:val="22"/>
          <w:szCs w:val="22"/>
        </w:rPr>
        <w:t xml:space="preserve">9.2 </w:t>
      </w:r>
      <w:r w:rsidR="00717184" w:rsidRPr="0058697C">
        <w:rPr>
          <w:rFonts w:ascii="Kohinoor Devanagari" w:hAnsi="Kohinoor Devanagari" w:cs="Kohinoor Devanagari"/>
          <w:b/>
          <w:bCs/>
          <w:sz w:val="22"/>
          <w:szCs w:val="22"/>
        </w:rPr>
        <w:t>Subnational Transfers (Requirement 5.2)</w:t>
      </w:r>
    </w:p>
    <w:p w14:paraId="37D60E5B" w14:textId="77777777" w:rsidR="00717184" w:rsidRPr="0058697C" w:rsidRDefault="00717184" w:rsidP="00717184">
      <w:pPr>
        <w:rPr>
          <w:rFonts w:ascii="Kohinoor Devanagari" w:eastAsia="Times New Roman" w:hAnsi="Kohinoor Devanagari" w:cs="Kohinoor Devanagari"/>
          <w:b/>
          <w:bCs/>
          <w:color w:val="0D0D0D"/>
          <w:kern w:val="0"/>
          <w:sz w:val="22"/>
          <w:szCs w:val="22"/>
          <w:lang w:eastAsia="fr-FR"/>
          <w14:ligatures w14:val="none"/>
        </w:rPr>
      </w:pPr>
      <w:r w:rsidRPr="0058697C">
        <w:rPr>
          <w:rFonts w:ascii="Kohinoor Devanagari" w:eastAsia="Times New Roman" w:hAnsi="Kohinoor Devanagari" w:cs="Kohinoor Devanagari"/>
          <w:b/>
          <w:bCs/>
          <w:color w:val="0D0D0D"/>
          <w:kern w:val="0"/>
          <w:sz w:val="22"/>
          <w:szCs w:val="22"/>
          <w:lang w:eastAsia="fr-FR"/>
          <w14:ligatures w14:val="none"/>
        </w:rPr>
        <w:t>Objective</w:t>
      </w:r>
    </w:p>
    <w:p w14:paraId="29F19034" w14:textId="77777777" w:rsidR="00717184" w:rsidRPr="0058697C" w:rsidRDefault="00717184" w:rsidP="002D3CD8">
      <w:p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58697C">
        <w:rPr>
          <w:rFonts w:ascii="Kohinoor Devanagari" w:eastAsia="Times New Roman" w:hAnsi="Kohinoor Devanagari" w:cs="Kohinoor Devanagari"/>
          <w:color w:val="0D0D0D"/>
          <w:kern w:val="0"/>
          <w:sz w:val="22"/>
          <w:szCs w:val="22"/>
          <w:lang w:eastAsia="fr-FR"/>
          <w14:ligatures w14:val="none"/>
        </w:rPr>
        <w:t>This section ensures transparency in subnational transfers of extractive revenues, enabling:</w:t>
      </w:r>
    </w:p>
    <w:p w14:paraId="3335D7E2" w14:textId="77777777" w:rsidR="00717184" w:rsidRPr="0058697C" w:rsidRDefault="00717184" w:rsidP="00FD2B68">
      <w:pPr>
        <w:numPr>
          <w:ilvl w:val="0"/>
          <w:numId w:val="66"/>
        </w:num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58697C">
        <w:rPr>
          <w:rFonts w:ascii="Kohinoor Devanagari" w:eastAsia="Times New Roman" w:hAnsi="Kohinoor Devanagari" w:cs="Kohinoor Devanagari"/>
          <w:color w:val="0D0D0D"/>
          <w:kern w:val="0"/>
          <w:sz w:val="22"/>
          <w:szCs w:val="22"/>
          <w:lang w:eastAsia="fr-FR"/>
          <w14:ligatures w14:val="none"/>
        </w:rPr>
        <w:t>Public understanding of revenue-sharing mechanisms between the central government and governorates.</w:t>
      </w:r>
    </w:p>
    <w:p w14:paraId="33A7CD66" w14:textId="77777777" w:rsidR="00717184" w:rsidRPr="0058697C" w:rsidRDefault="00717184" w:rsidP="00FD2B68">
      <w:pPr>
        <w:numPr>
          <w:ilvl w:val="0"/>
          <w:numId w:val="66"/>
        </w:num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58697C">
        <w:rPr>
          <w:rFonts w:ascii="Kohinoor Devanagari" w:eastAsia="Times New Roman" w:hAnsi="Kohinoor Devanagari" w:cs="Kohinoor Devanagari"/>
          <w:color w:val="0D0D0D"/>
          <w:kern w:val="0"/>
          <w:sz w:val="22"/>
          <w:szCs w:val="22"/>
          <w:lang w:eastAsia="fr-FR"/>
          <w14:ligatures w14:val="none"/>
        </w:rPr>
        <w:t>Verification that actual transfers match statutory entitlements under the petrodollar allocation scheme.</w:t>
      </w:r>
    </w:p>
    <w:p w14:paraId="477F82CB" w14:textId="77777777" w:rsidR="00717184" w:rsidRPr="0058697C" w:rsidRDefault="00717184" w:rsidP="00FD2B68">
      <w:pPr>
        <w:numPr>
          <w:ilvl w:val="0"/>
          <w:numId w:val="66"/>
        </w:num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58697C">
        <w:rPr>
          <w:rFonts w:ascii="Kohinoor Devanagari" w:eastAsia="Times New Roman" w:hAnsi="Kohinoor Devanagari" w:cs="Kohinoor Devanagari"/>
          <w:color w:val="0D0D0D"/>
          <w:kern w:val="0"/>
          <w:sz w:val="22"/>
          <w:szCs w:val="22"/>
          <w:lang w:eastAsia="fr-FR"/>
          <w14:ligatures w14:val="none"/>
        </w:rPr>
        <w:t>Disclosure of expected vs. actual transfers, including any discrepancies and explanations.</w:t>
      </w:r>
    </w:p>
    <w:p w14:paraId="01C97D31" w14:textId="77777777" w:rsidR="00717184" w:rsidRPr="0058697C" w:rsidRDefault="00717184" w:rsidP="00FD2B68">
      <w:pPr>
        <w:numPr>
          <w:ilvl w:val="0"/>
          <w:numId w:val="66"/>
        </w:numPr>
        <w:spacing w:before="120" w:after="120" w:line="240" w:lineRule="auto"/>
        <w:rPr>
          <w:rFonts w:ascii="Kohinoor Devanagari" w:eastAsia="Times New Roman" w:hAnsi="Kohinoor Devanagari" w:cs="Kohinoor Devanagari"/>
          <w:color w:val="0D0D0D"/>
          <w:kern w:val="0"/>
          <w:sz w:val="22"/>
          <w:szCs w:val="22"/>
          <w:lang w:eastAsia="fr-FR"/>
          <w14:ligatures w14:val="none"/>
        </w:rPr>
      </w:pPr>
      <w:r w:rsidRPr="0058697C">
        <w:rPr>
          <w:rFonts w:ascii="Kohinoor Devanagari" w:eastAsia="Times New Roman" w:hAnsi="Kohinoor Devanagari" w:cs="Kohinoor Devanagari"/>
          <w:color w:val="0D0D0D"/>
          <w:kern w:val="0"/>
          <w:sz w:val="22"/>
          <w:szCs w:val="22"/>
          <w:lang w:eastAsia="fr-FR"/>
          <w14:ligatures w14:val="none"/>
        </w:rPr>
        <w:t>Improved oversight of subnational revenue management and expenditure.</w:t>
      </w:r>
    </w:p>
    <w:p w14:paraId="5E6D7A03" w14:textId="77777777" w:rsidR="00AC6109" w:rsidRPr="00474E5A" w:rsidRDefault="00AC6109" w:rsidP="00717184">
      <w:pPr>
        <w:rPr>
          <w:rFonts w:ascii="Kohinoor Devanagari" w:eastAsia="Times New Roman" w:hAnsi="Kohinoor Devanagari" w:cs="Kohinoor Devanagari"/>
          <w:b/>
          <w:bCs/>
          <w:color w:val="0D0D0D"/>
          <w:kern w:val="0"/>
          <w:sz w:val="22"/>
          <w:szCs w:val="22"/>
          <w:lang w:eastAsia="fr-FR"/>
          <w14:ligatures w14:val="none"/>
        </w:rPr>
      </w:pPr>
    </w:p>
    <w:p w14:paraId="29D4734E" w14:textId="06D61843" w:rsidR="00717184" w:rsidRPr="00AC6109" w:rsidRDefault="00717184" w:rsidP="00717184">
      <w:pPr>
        <w:rPr>
          <w:rFonts w:ascii="Kohinoor Devanagari" w:eastAsia="Times New Roman" w:hAnsi="Kohinoor Devanagari" w:cs="Kohinoor Devanagari"/>
          <w:b/>
          <w:bCs/>
          <w:color w:val="0D0D0D"/>
          <w:kern w:val="0"/>
          <w:sz w:val="22"/>
          <w:szCs w:val="22"/>
          <w:lang w:eastAsia="fr-FR"/>
          <w14:ligatures w14:val="none"/>
        </w:rPr>
      </w:pPr>
      <w:r w:rsidRPr="00AC6109">
        <w:rPr>
          <w:rFonts w:ascii="Kohinoor Devanagari" w:eastAsia="Times New Roman" w:hAnsi="Kohinoor Devanagari" w:cs="Kohinoor Devanagari"/>
          <w:b/>
          <w:bCs/>
          <w:color w:val="0D0D0D"/>
          <w:kern w:val="0"/>
          <w:sz w:val="22"/>
          <w:szCs w:val="22"/>
          <w:lang w:eastAsia="fr-FR"/>
          <w14:ligatures w14:val="none"/>
        </w:rPr>
        <w:t>Data Disclosure Requirements</w:t>
      </w:r>
    </w:p>
    <w:tbl>
      <w:tblPr>
        <w:tblStyle w:val="TableGrid"/>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419"/>
        <w:gridCol w:w="1593"/>
        <w:gridCol w:w="1351"/>
        <w:gridCol w:w="1512"/>
        <w:gridCol w:w="1109"/>
        <w:gridCol w:w="1004"/>
        <w:gridCol w:w="1350"/>
      </w:tblGrid>
      <w:tr w:rsidR="00D67AA9" w:rsidRPr="00D67AA9" w14:paraId="61A070FE" w14:textId="77777777" w:rsidTr="00D67AA9">
        <w:trPr>
          <w:tblHeader/>
        </w:trPr>
        <w:tc>
          <w:tcPr>
            <w:tcW w:w="0" w:type="auto"/>
            <w:shd w:val="clear" w:color="auto" w:fill="748A96"/>
            <w:hideMark/>
          </w:tcPr>
          <w:p w14:paraId="56583B26" w14:textId="77777777" w:rsidR="00717184" w:rsidRPr="00C52386" w:rsidRDefault="00717184"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Data Type</w:t>
            </w:r>
          </w:p>
        </w:tc>
        <w:tc>
          <w:tcPr>
            <w:tcW w:w="0" w:type="auto"/>
            <w:shd w:val="clear" w:color="auto" w:fill="748A96"/>
            <w:hideMark/>
          </w:tcPr>
          <w:p w14:paraId="11E1FA0C" w14:textId="77777777" w:rsidR="00717184" w:rsidRPr="00C52386" w:rsidRDefault="00717184"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Description</w:t>
            </w:r>
          </w:p>
        </w:tc>
        <w:tc>
          <w:tcPr>
            <w:tcW w:w="0" w:type="auto"/>
            <w:shd w:val="clear" w:color="auto" w:fill="748A96"/>
            <w:hideMark/>
          </w:tcPr>
          <w:p w14:paraId="25425EA6" w14:textId="77777777" w:rsidR="00717184" w:rsidRPr="00C52386" w:rsidRDefault="00717184"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Responsible Entities</w:t>
            </w:r>
          </w:p>
        </w:tc>
        <w:tc>
          <w:tcPr>
            <w:tcW w:w="0" w:type="auto"/>
            <w:shd w:val="clear" w:color="auto" w:fill="748A96"/>
            <w:hideMark/>
          </w:tcPr>
          <w:p w14:paraId="7E35DA4C" w14:textId="77777777" w:rsidR="00717184" w:rsidRPr="00C52386" w:rsidRDefault="00717184"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Disaggregation</w:t>
            </w:r>
          </w:p>
        </w:tc>
        <w:tc>
          <w:tcPr>
            <w:tcW w:w="0" w:type="auto"/>
            <w:shd w:val="clear" w:color="auto" w:fill="748A96"/>
            <w:hideMark/>
          </w:tcPr>
          <w:p w14:paraId="73048733" w14:textId="77777777" w:rsidR="00717184" w:rsidRPr="00C52386" w:rsidRDefault="00717184"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Frequency</w:t>
            </w:r>
          </w:p>
        </w:tc>
        <w:tc>
          <w:tcPr>
            <w:tcW w:w="0" w:type="auto"/>
            <w:shd w:val="clear" w:color="auto" w:fill="748A96"/>
            <w:hideMark/>
          </w:tcPr>
          <w:p w14:paraId="0FC39775" w14:textId="77777777" w:rsidR="00717184" w:rsidRPr="00C52386" w:rsidRDefault="00717184"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Format</w:t>
            </w:r>
          </w:p>
        </w:tc>
        <w:tc>
          <w:tcPr>
            <w:tcW w:w="0" w:type="auto"/>
            <w:shd w:val="clear" w:color="auto" w:fill="748A96"/>
            <w:hideMark/>
          </w:tcPr>
          <w:p w14:paraId="5D961495" w14:textId="77777777" w:rsidR="00717184" w:rsidRPr="00C52386" w:rsidRDefault="00717184" w:rsidP="00120990">
            <w:pPr>
              <w:spacing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Publication Channels</w:t>
            </w:r>
          </w:p>
        </w:tc>
      </w:tr>
      <w:tr w:rsidR="00717184" w:rsidRPr="00AC6109" w14:paraId="2534A66E" w14:textId="77777777" w:rsidTr="006C21F9">
        <w:tc>
          <w:tcPr>
            <w:tcW w:w="0" w:type="auto"/>
            <w:hideMark/>
          </w:tcPr>
          <w:p w14:paraId="631BAA72" w14:textId="77777777" w:rsidR="00717184" w:rsidRPr="00AC6109" w:rsidRDefault="00717184" w:rsidP="00120990">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Revenue-Sharing Formula for Petrodollar Allocations</w:t>
            </w:r>
          </w:p>
        </w:tc>
        <w:tc>
          <w:tcPr>
            <w:tcW w:w="0" w:type="auto"/>
            <w:hideMark/>
          </w:tcPr>
          <w:p w14:paraId="3766C004" w14:textId="77777777" w:rsidR="00717184" w:rsidRPr="00AC6109" w:rsidRDefault="00717184" w:rsidP="00120990">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Disclosure of the formula used to calculate subnational transfers of extractive revenues.</w:t>
            </w:r>
          </w:p>
        </w:tc>
        <w:tc>
          <w:tcPr>
            <w:tcW w:w="0" w:type="auto"/>
            <w:hideMark/>
          </w:tcPr>
          <w:p w14:paraId="7BE122CE" w14:textId="77777777" w:rsidR="00717184" w:rsidRPr="00AC6109" w:rsidRDefault="00717184" w:rsidP="00120990">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Ministry of Finance, Ministry of Planning</w:t>
            </w:r>
          </w:p>
        </w:tc>
        <w:tc>
          <w:tcPr>
            <w:tcW w:w="0" w:type="auto"/>
            <w:hideMark/>
          </w:tcPr>
          <w:p w14:paraId="07013260" w14:textId="77777777" w:rsidR="00717184" w:rsidRPr="00AC6109" w:rsidRDefault="00717184" w:rsidP="00120990">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By governorate, production level</w:t>
            </w:r>
          </w:p>
        </w:tc>
        <w:tc>
          <w:tcPr>
            <w:tcW w:w="0" w:type="auto"/>
            <w:hideMark/>
          </w:tcPr>
          <w:p w14:paraId="53F631F7" w14:textId="77777777" w:rsidR="00717184" w:rsidRPr="00AC6109" w:rsidRDefault="00717184" w:rsidP="00120990">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Annually &amp; Updates</w:t>
            </w:r>
          </w:p>
        </w:tc>
        <w:tc>
          <w:tcPr>
            <w:tcW w:w="0" w:type="auto"/>
            <w:hideMark/>
          </w:tcPr>
          <w:p w14:paraId="26E7A733" w14:textId="4BFEA14F" w:rsidR="00717184" w:rsidRPr="00195613" w:rsidRDefault="00447F9B" w:rsidP="00447F9B">
            <w:pPr>
              <w:spacing w:after="40"/>
              <w:rPr>
                <w:rFonts w:ascii="Calibri" w:eastAsia="Times New Roman" w:hAnsi="Calibri" w:cs="Calibri"/>
                <w:color w:val="0D0D0D"/>
                <w:kern w:val="0"/>
                <w:sz w:val="20"/>
                <w:szCs w:val="20"/>
                <w:lang w:eastAsia="fr-FR"/>
                <w14:ligatures w14:val="none"/>
              </w:rPr>
            </w:pPr>
            <w:r w:rsidRPr="00C52386">
              <w:rPr>
                <w:rFonts w:ascii="Calibri" w:eastAsia="Times New Roman" w:hAnsi="Calibri" w:cs="Calibri"/>
                <w:color w:val="0D0D0D"/>
                <w:kern w:val="0"/>
                <w:sz w:val="20"/>
                <w:szCs w:val="20"/>
                <w:lang w:eastAsia="fr-FR"/>
                <w14:ligatures w14:val="none"/>
              </w:rPr>
              <w:t>CSV, HTML</w:t>
            </w:r>
            <w:r w:rsidRPr="00195613">
              <w:rPr>
                <w:rFonts w:ascii="Calibri" w:eastAsia="Times New Roman" w:hAnsi="Calibri" w:cs="Calibri"/>
                <w:color w:val="0D0D0D"/>
                <w:kern w:val="0"/>
                <w:sz w:val="20"/>
                <w:szCs w:val="20"/>
                <w:lang w:eastAsia="fr-FR"/>
                <w14:ligatures w14:val="none"/>
              </w:rPr>
              <w:t xml:space="preserve"> (PDF optional)</w:t>
            </w:r>
          </w:p>
        </w:tc>
        <w:tc>
          <w:tcPr>
            <w:tcW w:w="0" w:type="auto"/>
            <w:hideMark/>
          </w:tcPr>
          <w:p w14:paraId="20061A88" w14:textId="6DEDEDDC" w:rsidR="00717184" w:rsidRPr="00AC6109" w:rsidRDefault="008C2905" w:rsidP="00120990">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717184" w:rsidRPr="00AC6109">
              <w:rPr>
                <w:rFonts w:ascii="Calibri" w:eastAsia="Times New Roman" w:hAnsi="Calibri" w:cs="Calibri"/>
                <w:color w:val="0D0D0D"/>
                <w:kern w:val="0"/>
                <w:sz w:val="20"/>
                <w:szCs w:val="20"/>
                <w:lang w:eastAsia="fr-FR"/>
                <w14:ligatures w14:val="none"/>
              </w:rPr>
              <w:t xml:space="preserve"> Iraq portal, Ministry of Finance website</w:t>
            </w:r>
          </w:p>
        </w:tc>
      </w:tr>
      <w:tr w:rsidR="00717184" w:rsidRPr="00AC6109" w14:paraId="0A06B742" w14:textId="77777777" w:rsidTr="006C21F9">
        <w:tc>
          <w:tcPr>
            <w:tcW w:w="0" w:type="auto"/>
            <w:hideMark/>
          </w:tcPr>
          <w:p w14:paraId="6FE18753" w14:textId="77777777" w:rsidR="00717184" w:rsidRPr="00AC6109" w:rsidRDefault="00717184" w:rsidP="00120990">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Expected vs. Actual Transfers</w:t>
            </w:r>
          </w:p>
        </w:tc>
        <w:tc>
          <w:tcPr>
            <w:tcW w:w="0" w:type="auto"/>
            <w:hideMark/>
          </w:tcPr>
          <w:p w14:paraId="3A11724A" w14:textId="77777777" w:rsidR="00717184" w:rsidRPr="00AC6109" w:rsidRDefault="00717184" w:rsidP="00120990">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Comparison of budgeted vs. actual petrodollar allocations transferred to governorates.</w:t>
            </w:r>
          </w:p>
        </w:tc>
        <w:tc>
          <w:tcPr>
            <w:tcW w:w="0" w:type="auto"/>
            <w:hideMark/>
          </w:tcPr>
          <w:p w14:paraId="4A5A5387" w14:textId="77777777" w:rsidR="00717184" w:rsidRPr="00AC6109" w:rsidRDefault="00717184" w:rsidP="00120990">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Ministry of Finance, Governorate Authorities</w:t>
            </w:r>
          </w:p>
        </w:tc>
        <w:tc>
          <w:tcPr>
            <w:tcW w:w="0" w:type="auto"/>
            <w:hideMark/>
          </w:tcPr>
          <w:p w14:paraId="0643494C" w14:textId="77777777" w:rsidR="00717184" w:rsidRPr="00AC6109" w:rsidRDefault="00717184" w:rsidP="00120990">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By governorate, transfer type</w:t>
            </w:r>
          </w:p>
        </w:tc>
        <w:tc>
          <w:tcPr>
            <w:tcW w:w="0" w:type="auto"/>
            <w:hideMark/>
          </w:tcPr>
          <w:p w14:paraId="5E5FA79F" w14:textId="77777777" w:rsidR="00717184" w:rsidRPr="00AC6109" w:rsidRDefault="00717184" w:rsidP="00120990">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Annually</w:t>
            </w:r>
          </w:p>
        </w:tc>
        <w:tc>
          <w:tcPr>
            <w:tcW w:w="0" w:type="auto"/>
            <w:hideMark/>
          </w:tcPr>
          <w:p w14:paraId="16AE75C0" w14:textId="027F21B4" w:rsidR="00717184" w:rsidRPr="00195613" w:rsidRDefault="00447F9B" w:rsidP="00447F9B">
            <w:pPr>
              <w:spacing w:after="40"/>
              <w:rPr>
                <w:rFonts w:ascii="Calibri" w:eastAsia="Times New Roman" w:hAnsi="Calibri" w:cs="Calibri"/>
                <w:color w:val="0D0D0D"/>
                <w:kern w:val="0"/>
                <w:sz w:val="20"/>
                <w:szCs w:val="20"/>
                <w:lang w:eastAsia="fr-FR"/>
                <w14:ligatures w14:val="none"/>
              </w:rPr>
            </w:pPr>
            <w:r w:rsidRPr="00195613">
              <w:rPr>
                <w:rFonts w:ascii="Calibri" w:eastAsia="Times New Roman" w:hAnsi="Calibri" w:cs="Calibri"/>
                <w:color w:val="0D0D0D"/>
                <w:kern w:val="0"/>
                <w:sz w:val="20"/>
                <w:szCs w:val="20"/>
                <w:lang w:eastAsia="fr-FR"/>
                <w14:ligatures w14:val="none"/>
              </w:rPr>
              <w:t>CSV, HTML</w:t>
            </w:r>
          </w:p>
        </w:tc>
        <w:tc>
          <w:tcPr>
            <w:tcW w:w="0" w:type="auto"/>
            <w:hideMark/>
          </w:tcPr>
          <w:p w14:paraId="3DE80B4F" w14:textId="1482D6A9" w:rsidR="00717184" w:rsidRPr="00AC6109" w:rsidRDefault="008C2905" w:rsidP="00120990">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717184" w:rsidRPr="00AC6109">
              <w:rPr>
                <w:rFonts w:ascii="Calibri" w:eastAsia="Times New Roman" w:hAnsi="Calibri" w:cs="Calibri"/>
                <w:color w:val="0D0D0D"/>
                <w:kern w:val="0"/>
                <w:sz w:val="20"/>
                <w:szCs w:val="20"/>
                <w:lang w:eastAsia="fr-FR"/>
                <w14:ligatures w14:val="none"/>
              </w:rPr>
              <w:t xml:space="preserve"> Iraq portal, Ministry of Finance website</w:t>
            </w:r>
          </w:p>
        </w:tc>
      </w:tr>
      <w:tr w:rsidR="00717184" w:rsidRPr="00AC6109" w14:paraId="6AB60F63" w14:textId="77777777" w:rsidTr="006C21F9">
        <w:tc>
          <w:tcPr>
            <w:tcW w:w="0" w:type="auto"/>
            <w:hideMark/>
          </w:tcPr>
          <w:p w14:paraId="3EB1257C" w14:textId="77777777" w:rsidR="00717184" w:rsidRPr="00AC6109" w:rsidRDefault="00717184" w:rsidP="00120990">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Utilization of Subnational Transfers</w:t>
            </w:r>
          </w:p>
        </w:tc>
        <w:tc>
          <w:tcPr>
            <w:tcW w:w="0" w:type="auto"/>
            <w:hideMark/>
          </w:tcPr>
          <w:p w14:paraId="2CF7DCF7" w14:textId="77777777" w:rsidR="00717184" w:rsidRPr="00AC6109" w:rsidRDefault="00717184" w:rsidP="00120990">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Reporting on how governorates allocate and spend extractive revenues received.</w:t>
            </w:r>
          </w:p>
        </w:tc>
        <w:tc>
          <w:tcPr>
            <w:tcW w:w="0" w:type="auto"/>
            <w:hideMark/>
          </w:tcPr>
          <w:p w14:paraId="3BE4BE2E" w14:textId="77777777" w:rsidR="00717184" w:rsidRPr="00AC6109" w:rsidRDefault="00717184" w:rsidP="00120990">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Governorate Authorities, Ministry of Planning</w:t>
            </w:r>
          </w:p>
        </w:tc>
        <w:tc>
          <w:tcPr>
            <w:tcW w:w="0" w:type="auto"/>
            <w:hideMark/>
          </w:tcPr>
          <w:p w14:paraId="5160CB5E" w14:textId="77777777" w:rsidR="00717184" w:rsidRPr="00AC6109" w:rsidRDefault="00717184" w:rsidP="00120990">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By project, budget allocation</w:t>
            </w:r>
          </w:p>
        </w:tc>
        <w:tc>
          <w:tcPr>
            <w:tcW w:w="0" w:type="auto"/>
            <w:hideMark/>
          </w:tcPr>
          <w:p w14:paraId="0966BB21" w14:textId="77777777" w:rsidR="00717184" w:rsidRPr="00AC6109" w:rsidRDefault="00717184" w:rsidP="00120990">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Annually</w:t>
            </w:r>
          </w:p>
        </w:tc>
        <w:tc>
          <w:tcPr>
            <w:tcW w:w="0" w:type="auto"/>
            <w:hideMark/>
          </w:tcPr>
          <w:p w14:paraId="45259CA2" w14:textId="623CAD3D" w:rsidR="00717184" w:rsidRPr="00195613" w:rsidRDefault="00195613" w:rsidP="00195613">
            <w:pPr>
              <w:spacing w:after="40"/>
              <w:rPr>
                <w:rFonts w:ascii="Calibri" w:eastAsia="Times New Roman" w:hAnsi="Calibri" w:cs="Calibri"/>
                <w:color w:val="0D0D0D"/>
                <w:kern w:val="0"/>
                <w:sz w:val="20"/>
                <w:szCs w:val="20"/>
                <w:lang w:eastAsia="fr-FR"/>
                <w14:ligatures w14:val="none"/>
              </w:rPr>
            </w:pPr>
            <w:r w:rsidRPr="00C52386">
              <w:rPr>
                <w:rFonts w:ascii="Calibri" w:eastAsia="Times New Roman" w:hAnsi="Calibri" w:cs="Calibri"/>
                <w:color w:val="0D0D0D"/>
                <w:kern w:val="0"/>
                <w:sz w:val="20"/>
                <w:szCs w:val="20"/>
                <w:lang w:eastAsia="fr-FR"/>
                <w14:ligatures w14:val="none"/>
              </w:rPr>
              <w:t>CSV, HTML</w:t>
            </w:r>
            <w:r w:rsidRPr="00195613">
              <w:rPr>
                <w:rFonts w:ascii="Calibri" w:eastAsia="Times New Roman" w:hAnsi="Calibri" w:cs="Calibri"/>
                <w:color w:val="0D0D0D"/>
                <w:kern w:val="0"/>
                <w:sz w:val="20"/>
                <w:szCs w:val="20"/>
                <w:lang w:eastAsia="fr-FR"/>
                <w14:ligatures w14:val="none"/>
              </w:rPr>
              <w:t xml:space="preserve"> (PDF optional)</w:t>
            </w:r>
          </w:p>
        </w:tc>
        <w:tc>
          <w:tcPr>
            <w:tcW w:w="0" w:type="auto"/>
            <w:hideMark/>
          </w:tcPr>
          <w:p w14:paraId="4EF6BCCE" w14:textId="17809A56" w:rsidR="00717184" w:rsidRPr="00AC6109" w:rsidRDefault="008C2905" w:rsidP="00120990">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717184" w:rsidRPr="00AC6109">
              <w:rPr>
                <w:rFonts w:ascii="Calibri" w:eastAsia="Times New Roman" w:hAnsi="Calibri" w:cs="Calibri"/>
                <w:color w:val="0D0D0D"/>
                <w:kern w:val="0"/>
                <w:sz w:val="20"/>
                <w:szCs w:val="20"/>
                <w:lang w:eastAsia="fr-FR"/>
                <w14:ligatures w14:val="none"/>
              </w:rPr>
              <w:t xml:space="preserve"> Iraq portal, Governorate websites</w:t>
            </w:r>
          </w:p>
        </w:tc>
      </w:tr>
      <w:tr w:rsidR="00717184" w:rsidRPr="00AC6109" w14:paraId="576C31F6" w14:textId="77777777" w:rsidTr="006C21F9">
        <w:tc>
          <w:tcPr>
            <w:tcW w:w="0" w:type="auto"/>
            <w:hideMark/>
          </w:tcPr>
          <w:p w14:paraId="65794006" w14:textId="77777777" w:rsidR="00717184" w:rsidRPr="00AC6109" w:rsidRDefault="00717184" w:rsidP="00120990">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Ad-Hoc or Discretionary Transfers (if applicable)</w:t>
            </w:r>
          </w:p>
        </w:tc>
        <w:tc>
          <w:tcPr>
            <w:tcW w:w="0" w:type="auto"/>
            <w:hideMark/>
          </w:tcPr>
          <w:p w14:paraId="779A1811" w14:textId="77777777" w:rsidR="00717184" w:rsidRPr="00AC6109" w:rsidRDefault="00717184" w:rsidP="00120990">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Disclosure of any discretionary transfers made to governorates outside the statutory formula.</w:t>
            </w:r>
          </w:p>
        </w:tc>
        <w:tc>
          <w:tcPr>
            <w:tcW w:w="0" w:type="auto"/>
            <w:hideMark/>
          </w:tcPr>
          <w:p w14:paraId="6D9A47F9" w14:textId="77777777" w:rsidR="00717184" w:rsidRPr="00AC6109" w:rsidRDefault="00717184" w:rsidP="00120990">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Ministry of Finance, Ministry of Oil</w:t>
            </w:r>
          </w:p>
        </w:tc>
        <w:tc>
          <w:tcPr>
            <w:tcW w:w="0" w:type="auto"/>
            <w:hideMark/>
          </w:tcPr>
          <w:p w14:paraId="52C808C7" w14:textId="77777777" w:rsidR="00717184" w:rsidRPr="00AC6109" w:rsidRDefault="00717184" w:rsidP="00120990">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By governorate, transaction</w:t>
            </w:r>
          </w:p>
        </w:tc>
        <w:tc>
          <w:tcPr>
            <w:tcW w:w="0" w:type="auto"/>
            <w:hideMark/>
          </w:tcPr>
          <w:p w14:paraId="5F0594BB" w14:textId="77777777" w:rsidR="00717184" w:rsidRPr="00AC6109" w:rsidRDefault="00717184" w:rsidP="00120990">
            <w:pPr>
              <w:spacing w:after="40"/>
              <w:rPr>
                <w:rFonts w:ascii="Calibri" w:eastAsia="Times New Roman" w:hAnsi="Calibri" w:cs="Calibri"/>
                <w:color w:val="0D0D0D"/>
                <w:kern w:val="0"/>
                <w:sz w:val="20"/>
                <w:szCs w:val="20"/>
                <w:lang w:eastAsia="fr-FR"/>
                <w14:ligatures w14:val="none"/>
              </w:rPr>
            </w:pPr>
            <w:r w:rsidRPr="00AC6109">
              <w:rPr>
                <w:rFonts w:ascii="Calibri" w:eastAsia="Times New Roman" w:hAnsi="Calibri" w:cs="Calibri"/>
                <w:color w:val="0D0D0D"/>
                <w:kern w:val="0"/>
                <w:sz w:val="20"/>
                <w:szCs w:val="20"/>
                <w:lang w:eastAsia="fr-FR"/>
                <w14:ligatures w14:val="none"/>
              </w:rPr>
              <w:t>Annually &amp; Updates</w:t>
            </w:r>
          </w:p>
        </w:tc>
        <w:tc>
          <w:tcPr>
            <w:tcW w:w="0" w:type="auto"/>
            <w:hideMark/>
          </w:tcPr>
          <w:p w14:paraId="7427ACFC" w14:textId="4CCED581" w:rsidR="00717184" w:rsidRPr="00195613" w:rsidRDefault="00195613" w:rsidP="00195613">
            <w:pPr>
              <w:spacing w:after="40"/>
              <w:rPr>
                <w:rFonts w:ascii="Calibri" w:eastAsia="Times New Roman" w:hAnsi="Calibri" w:cs="Calibri"/>
                <w:color w:val="0D0D0D"/>
                <w:kern w:val="0"/>
                <w:sz w:val="20"/>
                <w:szCs w:val="20"/>
                <w:lang w:eastAsia="fr-FR"/>
                <w14:ligatures w14:val="none"/>
              </w:rPr>
            </w:pPr>
            <w:r w:rsidRPr="00C52386">
              <w:rPr>
                <w:rFonts w:ascii="Calibri" w:eastAsia="Times New Roman" w:hAnsi="Calibri" w:cs="Calibri"/>
                <w:color w:val="0D0D0D"/>
                <w:kern w:val="0"/>
                <w:sz w:val="20"/>
                <w:szCs w:val="20"/>
                <w:lang w:eastAsia="fr-FR"/>
                <w14:ligatures w14:val="none"/>
              </w:rPr>
              <w:t>CSV, HTML</w:t>
            </w:r>
            <w:r w:rsidRPr="00195613">
              <w:rPr>
                <w:rFonts w:ascii="Calibri" w:eastAsia="Times New Roman" w:hAnsi="Calibri" w:cs="Calibri"/>
                <w:color w:val="0D0D0D"/>
                <w:kern w:val="0"/>
                <w:sz w:val="20"/>
                <w:szCs w:val="20"/>
                <w:lang w:eastAsia="fr-FR"/>
                <w14:ligatures w14:val="none"/>
              </w:rPr>
              <w:t xml:space="preserve"> (PDF optional)</w:t>
            </w:r>
          </w:p>
        </w:tc>
        <w:tc>
          <w:tcPr>
            <w:tcW w:w="0" w:type="auto"/>
            <w:hideMark/>
          </w:tcPr>
          <w:p w14:paraId="312444B2" w14:textId="0BAD8928" w:rsidR="00717184" w:rsidRPr="00AC6109" w:rsidRDefault="008C2905" w:rsidP="00120990">
            <w:pPr>
              <w:spacing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717184" w:rsidRPr="00AC6109">
              <w:rPr>
                <w:rFonts w:ascii="Calibri" w:eastAsia="Times New Roman" w:hAnsi="Calibri" w:cs="Calibri"/>
                <w:color w:val="0D0D0D"/>
                <w:kern w:val="0"/>
                <w:sz w:val="20"/>
                <w:szCs w:val="20"/>
                <w:lang w:eastAsia="fr-FR"/>
                <w14:ligatures w14:val="none"/>
              </w:rPr>
              <w:t xml:space="preserve"> Iraq portal, Ministry of Finance website</w:t>
            </w:r>
          </w:p>
        </w:tc>
      </w:tr>
    </w:tbl>
    <w:p w14:paraId="1C4AF3DB" w14:textId="164E815F" w:rsidR="00270238" w:rsidRPr="00270238" w:rsidRDefault="00802B2B" w:rsidP="00536A4E">
      <w:pPr>
        <w:pStyle w:val="Heading4"/>
        <w:spacing w:before="120" w:after="120"/>
        <w:rPr>
          <w:rFonts w:ascii="Kohinoor Devanagari" w:hAnsi="Kohinoor Devanagari" w:cs="Kohinoor Devanagari"/>
          <w:b/>
          <w:bCs/>
          <w:sz w:val="22"/>
          <w:szCs w:val="22"/>
        </w:rPr>
      </w:pPr>
      <w:r>
        <w:rPr>
          <w:rFonts w:ascii="Kohinoor Devanagari" w:hAnsi="Kohinoor Devanagari" w:cs="Kohinoor Devanagari"/>
          <w:b/>
          <w:bCs/>
          <w:sz w:val="22"/>
          <w:szCs w:val="22"/>
        </w:rPr>
        <w:t xml:space="preserve">9.3 </w:t>
      </w:r>
      <w:r w:rsidR="00C34292" w:rsidRPr="00A3573B">
        <w:rPr>
          <w:rFonts w:ascii="Kohinoor Devanagari" w:hAnsi="Kohinoor Devanagari" w:cs="Kohinoor Devanagari"/>
          <w:b/>
          <w:bCs/>
          <w:sz w:val="22"/>
          <w:szCs w:val="22"/>
        </w:rPr>
        <w:t>S</w:t>
      </w:r>
      <w:r w:rsidR="00270238" w:rsidRPr="00270238">
        <w:rPr>
          <w:rFonts w:ascii="Kohinoor Devanagari" w:hAnsi="Kohinoor Devanagari" w:cs="Kohinoor Devanagari"/>
          <w:b/>
          <w:bCs/>
          <w:sz w:val="22"/>
          <w:szCs w:val="22"/>
        </w:rPr>
        <w:t>ocial and Environmental Expenditures (Requirement 6.1 )</w:t>
      </w:r>
    </w:p>
    <w:p w14:paraId="0279C705" w14:textId="1B2D00B3" w:rsidR="00270238" w:rsidRPr="00270238" w:rsidRDefault="00270238" w:rsidP="00416E70">
      <w:pPr>
        <w:spacing w:after="120" w:line="240" w:lineRule="auto"/>
        <w:rPr>
          <w:rFonts w:ascii="Kohinoor Devanagari" w:eastAsia="Times New Roman" w:hAnsi="Kohinoor Devanagari" w:cs="Kohinoor Devanagari"/>
          <w:b/>
          <w:bCs/>
          <w:color w:val="0D0D0D"/>
          <w:kern w:val="0"/>
          <w:sz w:val="22"/>
          <w:szCs w:val="22"/>
          <w:lang w:eastAsia="fr-FR"/>
          <w14:ligatures w14:val="none"/>
        </w:rPr>
      </w:pPr>
      <w:r w:rsidRPr="00270238">
        <w:rPr>
          <w:rFonts w:ascii="Kohinoor Devanagari" w:eastAsia="Times New Roman" w:hAnsi="Kohinoor Devanagari" w:cs="Kohinoor Devanagari"/>
          <w:b/>
          <w:bCs/>
          <w:color w:val="0D0D0D"/>
          <w:kern w:val="0"/>
          <w:sz w:val="22"/>
          <w:szCs w:val="22"/>
          <w:lang w:eastAsia="fr-FR"/>
          <w14:ligatures w14:val="none"/>
        </w:rPr>
        <w:t>Objective</w:t>
      </w:r>
    </w:p>
    <w:p w14:paraId="14D4AF9C" w14:textId="77777777" w:rsidR="00270238" w:rsidRPr="00270238" w:rsidRDefault="00270238" w:rsidP="00416E70">
      <w:pPr>
        <w:spacing w:after="120" w:line="240" w:lineRule="auto"/>
        <w:rPr>
          <w:rFonts w:ascii="Kohinoor Devanagari" w:eastAsia="Times New Roman" w:hAnsi="Kohinoor Devanagari" w:cs="Kohinoor Devanagari"/>
          <w:color w:val="0D0D0D"/>
          <w:kern w:val="0"/>
          <w:sz w:val="22"/>
          <w:szCs w:val="22"/>
          <w:lang w:eastAsia="fr-FR"/>
          <w14:ligatures w14:val="none"/>
        </w:rPr>
      </w:pPr>
      <w:r w:rsidRPr="00270238">
        <w:rPr>
          <w:rFonts w:ascii="Kohinoor Devanagari" w:eastAsia="Times New Roman" w:hAnsi="Kohinoor Devanagari" w:cs="Kohinoor Devanagari"/>
          <w:color w:val="0D0D0D"/>
          <w:kern w:val="0"/>
          <w:sz w:val="22"/>
          <w:szCs w:val="22"/>
          <w:lang w:eastAsia="fr-FR"/>
          <w14:ligatures w14:val="none"/>
        </w:rPr>
        <w:t>This section ensures public understanding of extractive companies’ social and environmental contributions, enabling:</w:t>
      </w:r>
    </w:p>
    <w:p w14:paraId="3E61AE45" w14:textId="77777777" w:rsidR="00270238" w:rsidRPr="00270238" w:rsidRDefault="00270238" w:rsidP="00FD2B68">
      <w:pPr>
        <w:numPr>
          <w:ilvl w:val="0"/>
          <w:numId w:val="67"/>
        </w:numPr>
        <w:spacing w:after="120" w:line="240" w:lineRule="auto"/>
        <w:rPr>
          <w:rFonts w:ascii="Kohinoor Devanagari" w:eastAsia="Times New Roman" w:hAnsi="Kohinoor Devanagari" w:cs="Kohinoor Devanagari"/>
          <w:color w:val="0D0D0D"/>
          <w:kern w:val="0"/>
          <w:sz w:val="22"/>
          <w:szCs w:val="22"/>
          <w:lang w:eastAsia="fr-FR"/>
          <w14:ligatures w14:val="none"/>
        </w:rPr>
      </w:pPr>
      <w:r w:rsidRPr="00270238">
        <w:rPr>
          <w:rFonts w:ascii="Kohinoor Devanagari" w:eastAsia="Times New Roman" w:hAnsi="Kohinoor Devanagari" w:cs="Kohinoor Devanagari"/>
          <w:color w:val="0D0D0D"/>
          <w:kern w:val="0"/>
          <w:sz w:val="22"/>
          <w:szCs w:val="22"/>
          <w:lang w:eastAsia="fr-FR"/>
          <w14:ligatures w14:val="none"/>
        </w:rPr>
        <w:t>Transparency in mandatory social expenditures required by contracts or law.</w:t>
      </w:r>
    </w:p>
    <w:p w14:paraId="44675932" w14:textId="77777777" w:rsidR="00270238" w:rsidRPr="00270238" w:rsidRDefault="00270238" w:rsidP="00FD2B68">
      <w:pPr>
        <w:numPr>
          <w:ilvl w:val="0"/>
          <w:numId w:val="67"/>
        </w:numPr>
        <w:spacing w:after="120" w:line="240" w:lineRule="auto"/>
        <w:rPr>
          <w:rFonts w:ascii="Kohinoor Devanagari" w:eastAsia="Times New Roman" w:hAnsi="Kohinoor Devanagari" w:cs="Kohinoor Devanagari"/>
          <w:color w:val="0D0D0D"/>
          <w:kern w:val="0"/>
          <w:sz w:val="22"/>
          <w:szCs w:val="22"/>
          <w:lang w:eastAsia="fr-FR"/>
          <w14:ligatures w14:val="none"/>
        </w:rPr>
      </w:pPr>
      <w:r w:rsidRPr="00270238">
        <w:rPr>
          <w:rFonts w:ascii="Kohinoor Devanagari" w:eastAsia="Times New Roman" w:hAnsi="Kohinoor Devanagari" w:cs="Kohinoor Devanagari"/>
          <w:color w:val="0D0D0D"/>
          <w:kern w:val="0"/>
          <w:sz w:val="22"/>
          <w:szCs w:val="22"/>
          <w:lang w:eastAsia="fr-FR"/>
          <w14:ligatures w14:val="none"/>
        </w:rPr>
        <w:t>Disclosure of environmental payments to the government, including fines and fees.</w:t>
      </w:r>
    </w:p>
    <w:p w14:paraId="5CBFEF0A" w14:textId="77777777" w:rsidR="00270238" w:rsidRPr="00270238" w:rsidRDefault="00270238" w:rsidP="00FD2B68">
      <w:pPr>
        <w:numPr>
          <w:ilvl w:val="0"/>
          <w:numId w:val="67"/>
        </w:numPr>
        <w:spacing w:after="120" w:line="240" w:lineRule="auto"/>
        <w:rPr>
          <w:rFonts w:ascii="Kohinoor Devanagari" w:eastAsia="Times New Roman" w:hAnsi="Kohinoor Devanagari" w:cs="Kohinoor Devanagari"/>
          <w:color w:val="0D0D0D"/>
          <w:kern w:val="0"/>
          <w:sz w:val="22"/>
          <w:szCs w:val="22"/>
          <w:lang w:eastAsia="fr-FR"/>
          <w14:ligatures w14:val="none"/>
        </w:rPr>
      </w:pPr>
      <w:r w:rsidRPr="00270238">
        <w:rPr>
          <w:rFonts w:ascii="Kohinoor Devanagari" w:eastAsia="Times New Roman" w:hAnsi="Kohinoor Devanagari" w:cs="Kohinoor Devanagari"/>
          <w:color w:val="0D0D0D"/>
          <w:kern w:val="0"/>
          <w:sz w:val="22"/>
          <w:szCs w:val="22"/>
          <w:lang w:eastAsia="fr-FR"/>
          <w14:ligatures w14:val="none"/>
        </w:rPr>
        <w:t>Improved monitoring of the allocation and impact of these expenditures.</w:t>
      </w:r>
    </w:p>
    <w:p w14:paraId="672CB593" w14:textId="2770063A" w:rsidR="00270238" w:rsidRPr="009348C9" w:rsidRDefault="00270238" w:rsidP="00270238">
      <w:pPr>
        <w:rPr>
          <w:rFonts w:ascii="Kohinoor Devanagari" w:eastAsia="Times New Roman" w:hAnsi="Kohinoor Devanagari" w:cs="Kohinoor Devanagari"/>
          <w:b/>
          <w:bCs/>
          <w:color w:val="0D0D0D"/>
          <w:kern w:val="0"/>
          <w:sz w:val="22"/>
          <w:szCs w:val="22"/>
          <w:lang w:eastAsia="fr-FR"/>
          <w14:ligatures w14:val="none"/>
        </w:rPr>
      </w:pPr>
      <w:r w:rsidRPr="009348C9">
        <w:rPr>
          <w:rFonts w:ascii="Kohinoor Devanagari" w:eastAsia="Times New Roman" w:hAnsi="Kohinoor Devanagari" w:cs="Kohinoor Devanagari"/>
          <w:b/>
          <w:bCs/>
          <w:color w:val="0D0D0D"/>
          <w:kern w:val="0"/>
          <w:sz w:val="22"/>
          <w:szCs w:val="22"/>
          <w:lang w:eastAsia="fr-FR"/>
          <w14:ligatures w14:val="none"/>
        </w:rPr>
        <w:t>Data Disclosure Requirements</w:t>
      </w:r>
    </w:p>
    <w:tbl>
      <w:tblPr>
        <w:tblStyle w:val="TableGrid"/>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503"/>
        <w:gridCol w:w="1586"/>
        <w:gridCol w:w="1317"/>
        <w:gridCol w:w="1530"/>
        <w:gridCol w:w="1081"/>
        <w:gridCol w:w="984"/>
        <w:gridCol w:w="1337"/>
      </w:tblGrid>
      <w:tr w:rsidR="00D67AA9" w:rsidRPr="00D67AA9" w14:paraId="7E4A25F6" w14:textId="77777777" w:rsidTr="00D67AA9">
        <w:trPr>
          <w:tblHeader/>
        </w:trPr>
        <w:tc>
          <w:tcPr>
            <w:tcW w:w="0" w:type="auto"/>
            <w:shd w:val="clear" w:color="auto" w:fill="748A96"/>
            <w:hideMark/>
          </w:tcPr>
          <w:p w14:paraId="393EC5E8" w14:textId="77777777" w:rsidR="00270238" w:rsidRPr="00C52386" w:rsidRDefault="00270238" w:rsidP="00120990">
            <w:pPr>
              <w:spacing w:before="40"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Data Type</w:t>
            </w:r>
          </w:p>
        </w:tc>
        <w:tc>
          <w:tcPr>
            <w:tcW w:w="0" w:type="auto"/>
            <w:shd w:val="clear" w:color="auto" w:fill="748A96"/>
            <w:hideMark/>
          </w:tcPr>
          <w:p w14:paraId="383B38A3" w14:textId="77777777" w:rsidR="00270238" w:rsidRPr="00C52386" w:rsidRDefault="00270238" w:rsidP="00120990">
            <w:pPr>
              <w:spacing w:before="40"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Description</w:t>
            </w:r>
          </w:p>
        </w:tc>
        <w:tc>
          <w:tcPr>
            <w:tcW w:w="0" w:type="auto"/>
            <w:shd w:val="clear" w:color="auto" w:fill="748A96"/>
            <w:hideMark/>
          </w:tcPr>
          <w:p w14:paraId="52F89982" w14:textId="77777777" w:rsidR="00270238" w:rsidRPr="00C52386" w:rsidRDefault="00270238" w:rsidP="00120990">
            <w:pPr>
              <w:spacing w:before="40"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Responsible Entities</w:t>
            </w:r>
          </w:p>
        </w:tc>
        <w:tc>
          <w:tcPr>
            <w:tcW w:w="0" w:type="auto"/>
            <w:shd w:val="clear" w:color="auto" w:fill="748A96"/>
            <w:hideMark/>
          </w:tcPr>
          <w:p w14:paraId="2625F754" w14:textId="77777777" w:rsidR="00270238" w:rsidRPr="00C52386" w:rsidRDefault="00270238" w:rsidP="00120990">
            <w:pPr>
              <w:spacing w:before="40"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Disaggregation</w:t>
            </w:r>
          </w:p>
        </w:tc>
        <w:tc>
          <w:tcPr>
            <w:tcW w:w="0" w:type="auto"/>
            <w:shd w:val="clear" w:color="auto" w:fill="748A96"/>
            <w:hideMark/>
          </w:tcPr>
          <w:p w14:paraId="198E28F6" w14:textId="77777777" w:rsidR="00270238" w:rsidRPr="00C52386" w:rsidRDefault="00270238" w:rsidP="00120990">
            <w:pPr>
              <w:spacing w:before="40"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Frequency</w:t>
            </w:r>
          </w:p>
        </w:tc>
        <w:tc>
          <w:tcPr>
            <w:tcW w:w="0" w:type="auto"/>
            <w:shd w:val="clear" w:color="auto" w:fill="748A96"/>
            <w:hideMark/>
          </w:tcPr>
          <w:p w14:paraId="7DC617DE" w14:textId="77777777" w:rsidR="00270238" w:rsidRPr="00C52386" w:rsidRDefault="00270238" w:rsidP="00120990">
            <w:pPr>
              <w:spacing w:before="40"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Format</w:t>
            </w:r>
          </w:p>
        </w:tc>
        <w:tc>
          <w:tcPr>
            <w:tcW w:w="0" w:type="auto"/>
            <w:shd w:val="clear" w:color="auto" w:fill="748A96"/>
            <w:hideMark/>
          </w:tcPr>
          <w:p w14:paraId="338E89D3" w14:textId="77777777" w:rsidR="00270238" w:rsidRPr="00C52386" w:rsidRDefault="00270238" w:rsidP="00120990">
            <w:pPr>
              <w:spacing w:before="40" w:after="40"/>
              <w:rPr>
                <w:rFonts w:ascii="Calibri" w:eastAsia="Times New Roman" w:hAnsi="Calibri" w:cs="Calibri"/>
                <w:b/>
                <w:bCs/>
                <w:color w:val="FFFFFF" w:themeColor="background1"/>
                <w:kern w:val="0"/>
                <w:sz w:val="20"/>
                <w:szCs w:val="20"/>
                <w:lang w:eastAsia="fr-FR"/>
                <w14:ligatures w14:val="none"/>
              </w:rPr>
            </w:pPr>
            <w:r w:rsidRPr="00C52386">
              <w:rPr>
                <w:rFonts w:ascii="Calibri" w:eastAsia="Times New Roman" w:hAnsi="Calibri" w:cs="Calibri"/>
                <w:b/>
                <w:bCs/>
                <w:color w:val="FFFFFF" w:themeColor="background1"/>
                <w:kern w:val="0"/>
                <w:sz w:val="20"/>
                <w:szCs w:val="20"/>
                <w:lang w:eastAsia="fr-FR"/>
                <w14:ligatures w14:val="none"/>
              </w:rPr>
              <w:t>Publication Channels</w:t>
            </w:r>
          </w:p>
        </w:tc>
      </w:tr>
      <w:tr w:rsidR="00D82A23" w:rsidRPr="009348C9" w14:paraId="07E0270F" w14:textId="77777777" w:rsidTr="00C34292">
        <w:tc>
          <w:tcPr>
            <w:tcW w:w="0" w:type="auto"/>
            <w:hideMark/>
          </w:tcPr>
          <w:p w14:paraId="7D9F450D" w14:textId="77777777" w:rsidR="00270238" w:rsidRPr="009348C9" w:rsidRDefault="00270238" w:rsidP="00120990">
            <w:pPr>
              <w:spacing w:before="40"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Mandatory Social Expenditures</w:t>
            </w:r>
          </w:p>
        </w:tc>
        <w:tc>
          <w:tcPr>
            <w:tcW w:w="0" w:type="auto"/>
            <w:hideMark/>
          </w:tcPr>
          <w:p w14:paraId="6228F922" w14:textId="77777777" w:rsidR="00270238" w:rsidRPr="009348C9" w:rsidRDefault="00270238" w:rsidP="00120990">
            <w:pPr>
              <w:spacing w:before="40"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Payments or in-kind contributions required by law or contracts for social development.</w:t>
            </w:r>
          </w:p>
        </w:tc>
        <w:tc>
          <w:tcPr>
            <w:tcW w:w="0" w:type="auto"/>
            <w:hideMark/>
          </w:tcPr>
          <w:p w14:paraId="58EA7F77" w14:textId="77777777" w:rsidR="00270238" w:rsidRPr="009348C9" w:rsidRDefault="00270238" w:rsidP="00120990">
            <w:pPr>
              <w:spacing w:before="40"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IOCs, SOEs, Ministry of Oil</w:t>
            </w:r>
          </w:p>
        </w:tc>
        <w:tc>
          <w:tcPr>
            <w:tcW w:w="0" w:type="auto"/>
            <w:hideMark/>
          </w:tcPr>
          <w:p w14:paraId="3728EA92" w14:textId="210F65CF" w:rsidR="00270238" w:rsidRPr="009348C9" w:rsidRDefault="00270238" w:rsidP="00120990">
            <w:pPr>
              <w:spacing w:before="40"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By company, project, beneficiary, gender (if available)</w:t>
            </w:r>
          </w:p>
        </w:tc>
        <w:tc>
          <w:tcPr>
            <w:tcW w:w="0" w:type="auto"/>
            <w:hideMark/>
          </w:tcPr>
          <w:p w14:paraId="37BBC3EC" w14:textId="77777777" w:rsidR="00270238" w:rsidRPr="009348C9" w:rsidRDefault="00270238" w:rsidP="00120990">
            <w:pPr>
              <w:spacing w:before="40"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Annually</w:t>
            </w:r>
          </w:p>
        </w:tc>
        <w:tc>
          <w:tcPr>
            <w:tcW w:w="0" w:type="auto"/>
            <w:hideMark/>
          </w:tcPr>
          <w:p w14:paraId="39580941" w14:textId="5DA63091" w:rsidR="00270238" w:rsidRPr="009348C9" w:rsidRDefault="00A01473" w:rsidP="00A01473">
            <w:pPr>
              <w:spacing w:before="40" w:after="40"/>
              <w:rPr>
                <w:rFonts w:ascii="Calibri" w:eastAsia="Times New Roman" w:hAnsi="Calibri" w:cs="Calibri"/>
                <w:color w:val="0D0D0D"/>
                <w:kern w:val="0"/>
                <w:sz w:val="20"/>
                <w:szCs w:val="20"/>
                <w:lang w:eastAsia="fr-FR"/>
                <w14:ligatures w14:val="none"/>
              </w:rPr>
            </w:pPr>
            <w:r w:rsidRPr="00A01473">
              <w:rPr>
                <w:rFonts w:ascii="Calibri" w:eastAsia="Times New Roman" w:hAnsi="Calibri" w:cs="Calibri"/>
                <w:b/>
                <w:bCs/>
                <w:color w:val="0D0D0D"/>
                <w:kern w:val="0"/>
                <w:sz w:val="20"/>
                <w:szCs w:val="20"/>
                <w:lang w:eastAsia="fr-FR"/>
                <w14:ligatures w14:val="none"/>
              </w:rPr>
              <w:t>CSV, HTML</w:t>
            </w:r>
            <w:r w:rsidRPr="00A01473">
              <w:rPr>
                <w:rFonts w:ascii="Calibri" w:eastAsia="Times New Roman" w:hAnsi="Calibri" w:cs="Calibri"/>
                <w:color w:val="0D0D0D"/>
                <w:kern w:val="0"/>
                <w:sz w:val="20"/>
                <w:szCs w:val="20"/>
                <w:lang w:eastAsia="fr-FR"/>
                <w14:ligatures w14:val="none"/>
              </w:rPr>
              <w:t xml:space="preserve"> (PDF optional)</w:t>
            </w:r>
          </w:p>
        </w:tc>
        <w:tc>
          <w:tcPr>
            <w:tcW w:w="0" w:type="auto"/>
            <w:hideMark/>
          </w:tcPr>
          <w:p w14:paraId="0167D843" w14:textId="38C8CC77" w:rsidR="00270238" w:rsidRPr="009348C9" w:rsidRDefault="008C2905" w:rsidP="00120990">
            <w:pPr>
              <w:spacing w:before="40"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270238" w:rsidRPr="009348C9">
              <w:rPr>
                <w:rFonts w:ascii="Calibri" w:eastAsia="Times New Roman" w:hAnsi="Calibri" w:cs="Calibri"/>
                <w:color w:val="0D0D0D"/>
                <w:kern w:val="0"/>
                <w:sz w:val="20"/>
                <w:szCs w:val="20"/>
                <w:lang w:eastAsia="fr-FR"/>
                <w14:ligatures w14:val="none"/>
              </w:rPr>
              <w:t xml:space="preserve"> Iraq portal, Ministry of Oil website</w:t>
            </w:r>
          </w:p>
        </w:tc>
      </w:tr>
      <w:tr w:rsidR="00D82A23" w:rsidRPr="009348C9" w14:paraId="4F289B09" w14:textId="77777777" w:rsidTr="00C34292">
        <w:tc>
          <w:tcPr>
            <w:tcW w:w="0" w:type="auto"/>
            <w:hideMark/>
          </w:tcPr>
          <w:p w14:paraId="594BAF80" w14:textId="77777777" w:rsidR="00270238" w:rsidRPr="009348C9" w:rsidRDefault="00270238" w:rsidP="00120990">
            <w:pPr>
              <w:spacing w:before="40"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Environmental Payments to Government</w:t>
            </w:r>
          </w:p>
        </w:tc>
        <w:tc>
          <w:tcPr>
            <w:tcW w:w="0" w:type="auto"/>
            <w:hideMark/>
          </w:tcPr>
          <w:p w14:paraId="4798B62A" w14:textId="77777777" w:rsidR="00270238" w:rsidRPr="009348C9" w:rsidRDefault="00270238" w:rsidP="00120990">
            <w:pPr>
              <w:spacing w:before="40"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Payments made by extractive companies to government for environmental fees, fines, or permits.</w:t>
            </w:r>
          </w:p>
        </w:tc>
        <w:tc>
          <w:tcPr>
            <w:tcW w:w="0" w:type="auto"/>
            <w:hideMark/>
          </w:tcPr>
          <w:p w14:paraId="48913BFA" w14:textId="5E962AA9" w:rsidR="00270238" w:rsidRPr="009348C9" w:rsidRDefault="00270238" w:rsidP="00120990">
            <w:pPr>
              <w:spacing w:before="40"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IOCs, Ministry of Environmen</w:t>
            </w:r>
            <w:r w:rsidR="0046514A" w:rsidRPr="009348C9">
              <w:rPr>
                <w:rFonts w:ascii="Calibri" w:eastAsia="Times New Roman" w:hAnsi="Calibri" w:cs="Calibri"/>
                <w:color w:val="0D0D0D"/>
                <w:kern w:val="0"/>
                <w:sz w:val="20"/>
                <w:szCs w:val="20"/>
                <w:lang w:eastAsia="fr-FR"/>
                <w14:ligatures w14:val="none"/>
              </w:rPr>
              <w:t>t</w:t>
            </w:r>
          </w:p>
        </w:tc>
        <w:tc>
          <w:tcPr>
            <w:tcW w:w="0" w:type="auto"/>
            <w:hideMark/>
          </w:tcPr>
          <w:p w14:paraId="06B6D40B" w14:textId="77777777" w:rsidR="00270238" w:rsidRPr="009348C9" w:rsidRDefault="00270238" w:rsidP="00120990">
            <w:pPr>
              <w:spacing w:before="40"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By company, transaction type</w:t>
            </w:r>
          </w:p>
        </w:tc>
        <w:tc>
          <w:tcPr>
            <w:tcW w:w="0" w:type="auto"/>
            <w:hideMark/>
          </w:tcPr>
          <w:p w14:paraId="2EF164E4" w14:textId="77777777" w:rsidR="00270238" w:rsidRPr="009348C9" w:rsidRDefault="00270238" w:rsidP="00120990">
            <w:pPr>
              <w:spacing w:before="40"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Annually</w:t>
            </w:r>
          </w:p>
        </w:tc>
        <w:tc>
          <w:tcPr>
            <w:tcW w:w="0" w:type="auto"/>
            <w:hideMark/>
          </w:tcPr>
          <w:p w14:paraId="7DB84FD2" w14:textId="4BA20C28" w:rsidR="00270238" w:rsidRPr="009348C9" w:rsidRDefault="00A01473" w:rsidP="00A01473">
            <w:pPr>
              <w:spacing w:before="40" w:after="40"/>
              <w:rPr>
                <w:rFonts w:ascii="Calibri" w:eastAsia="Times New Roman" w:hAnsi="Calibri" w:cs="Calibri"/>
                <w:color w:val="0D0D0D"/>
                <w:kern w:val="0"/>
                <w:sz w:val="20"/>
                <w:szCs w:val="20"/>
                <w:lang w:eastAsia="fr-FR"/>
                <w14:ligatures w14:val="none"/>
              </w:rPr>
            </w:pPr>
            <w:r w:rsidRPr="00A01473">
              <w:rPr>
                <w:rFonts w:ascii="Calibri" w:eastAsia="Times New Roman" w:hAnsi="Calibri" w:cs="Calibri"/>
                <w:b/>
                <w:bCs/>
                <w:color w:val="0D0D0D"/>
                <w:kern w:val="0"/>
                <w:sz w:val="20"/>
                <w:szCs w:val="20"/>
                <w:lang w:eastAsia="fr-FR"/>
                <w14:ligatures w14:val="none"/>
              </w:rPr>
              <w:t>CSV, HTML</w:t>
            </w:r>
            <w:r w:rsidRPr="00A01473">
              <w:rPr>
                <w:rFonts w:ascii="Calibri" w:eastAsia="Times New Roman" w:hAnsi="Calibri" w:cs="Calibri"/>
                <w:color w:val="0D0D0D"/>
                <w:kern w:val="0"/>
                <w:sz w:val="20"/>
                <w:szCs w:val="20"/>
                <w:lang w:eastAsia="fr-FR"/>
                <w14:ligatures w14:val="none"/>
              </w:rPr>
              <w:t xml:space="preserve"> (PDF optional)</w:t>
            </w:r>
          </w:p>
        </w:tc>
        <w:tc>
          <w:tcPr>
            <w:tcW w:w="0" w:type="auto"/>
            <w:hideMark/>
          </w:tcPr>
          <w:p w14:paraId="22DB390E" w14:textId="33C3FB37" w:rsidR="00270238" w:rsidRPr="009348C9" w:rsidRDefault="00817207" w:rsidP="00120990">
            <w:pPr>
              <w:spacing w:before="40"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270238" w:rsidRPr="009348C9">
              <w:rPr>
                <w:rFonts w:ascii="Calibri" w:eastAsia="Times New Roman" w:hAnsi="Calibri" w:cs="Calibri"/>
                <w:color w:val="0D0D0D"/>
                <w:kern w:val="0"/>
                <w:sz w:val="20"/>
                <w:szCs w:val="20"/>
                <w:lang w:eastAsia="fr-FR"/>
                <w14:ligatures w14:val="none"/>
              </w:rPr>
              <w:t xml:space="preserve"> Iraq portal, Ministry of Environment website</w:t>
            </w:r>
          </w:p>
        </w:tc>
      </w:tr>
      <w:tr w:rsidR="00D82A23" w:rsidRPr="009348C9" w14:paraId="3D934374" w14:textId="77777777" w:rsidTr="00C34292">
        <w:tc>
          <w:tcPr>
            <w:tcW w:w="0" w:type="auto"/>
            <w:hideMark/>
          </w:tcPr>
          <w:p w14:paraId="63D09703" w14:textId="77777777" w:rsidR="00270238" w:rsidRPr="009348C9" w:rsidRDefault="00270238" w:rsidP="00120990">
            <w:pPr>
              <w:spacing w:before="40"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Environmental Expenditures to Third Parties</w:t>
            </w:r>
          </w:p>
        </w:tc>
        <w:tc>
          <w:tcPr>
            <w:tcW w:w="0" w:type="auto"/>
            <w:hideMark/>
          </w:tcPr>
          <w:p w14:paraId="543E39C3" w14:textId="77777777" w:rsidR="00270238" w:rsidRPr="009348C9" w:rsidRDefault="00270238" w:rsidP="00120990">
            <w:pPr>
              <w:spacing w:before="40"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Voluntary or mandatory environmental expenditures by extractive companies to non-governmental entities.</w:t>
            </w:r>
          </w:p>
        </w:tc>
        <w:tc>
          <w:tcPr>
            <w:tcW w:w="0" w:type="auto"/>
            <w:hideMark/>
          </w:tcPr>
          <w:p w14:paraId="723AC85A" w14:textId="77777777" w:rsidR="00270238" w:rsidRPr="009348C9" w:rsidRDefault="00270238" w:rsidP="00120990">
            <w:pPr>
              <w:spacing w:before="40"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IOCs, SOEs</w:t>
            </w:r>
          </w:p>
        </w:tc>
        <w:tc>
          <w:tcPr>
            <w:tcW w:w="0" w:type="auto"/>
            <w:hideMark/>
          </w:tcPr>
          <w:p w14:paraId="54250EB8" w14:textId="77777777" w:rsidR="00270238" w:rsidRPr="009348C9" w:rsidRDefault="00270238" w:rsidP="00120990">
            <w:pPr>
              <w:spacing w:before="40"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By company, project, beneficiary</w:t>
            </w:r>
          </w:p>
        </w:tc>
        <w:tc>
          <w:tcPr>
            <w:tcW w:w="0" w:type="auto"/>
            <w:hideMark/>
          </w:tcPr>
          <w:p w14:paraId="2CB28395" w14:textId="77777777" w:rsidR="00270238" w:rsidRPr="009348C9" w:rsidRDefault="00270238" w:rsidP="00120990">
            <w:pPr>
              <w:spacing w:before="40"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Annually</w:t>
            </w:r>
          </w:p>
        </w:tc>
        <w:tc>
          <w:tcPr>
            <w:tcW w:w="0" w:type="auto"/>
            <w:hideMark/>
          </w:tcPr>
          <w:p w14:paraId="576EC3B1" w14:textId="22B94070" w:rsidR="00270238" w:rsidRPr="009348C9" w:rsidRDefault="00A01473" w:rsidP="00A01473">
            <w:pPr>
              <w:spacing w:before="40" w:after="40"/>
              <w:rPr>
                <w:rFonts w:ascii="Calibri" w:eastAsia="Times New Roman" w:hAnsi="Calibri" w:cs="Calibri"/>
                <w:color w:val="0D0D0D"/>
                <w:kern w:val="0"/>
                <w:sz w:val="20"/>
                <w:szCs w:val="20"/>
                <w:lang w:eastAsia="fr-FR"/>
                <w14:ligatures w14:val="none"/>
              </w:rPr>
            </w:pPr>
            <w:r w:rsidRPr="00A01473">
              <w:rPr>
                <w:rFonts w:ascii="Calibri" w:eastAsia="Times New Roman" w:hAnsi="Calibri" w:cs="Calibri"/>
                <w:b/>
                <w:bCs/>
                <w:color w:val="0D0D0D"/>
                <w:kern w:val="0"/>
                <w:sz w:val="20"/>
                <w:szCs w:val="20"/>
                <w:lang w:eastAsia="fr-FR"/>
                <w14:ligatures w14:val="none"/>
              </w:rPr>
              <w:t>CSV, HTML</w:t>
            </w:r>
            <w:r w:rsidRPr="00A01473">
              <w:rPr>
                <w:rFonts w:ascii="Calibri" w:eastAsia="Times New Roman" w:hAnsi="Calibri" w:cs="Calibri"/>
                <w:color w:val="0D0D0D"/>
                <w:kern w:val="0"/>
                <w:sz w:val="20"/>
                <w:szCs w:val="20"/>
                <w:lang w:eastAsia="fr-FR"/>
                <w14:ligatures w14:val="none"/>
              </w:rPr>
              <w:t xml:space="preserve"> (PDF optional)</w:t>
            </w:r>
          </w:p>
        </w:tc>
        <w:tc>
          <w:tcPr>
            <w:tcW w:w="0" w:type="auto"/>
            <w:hideMark/>
          </w:tcPr>
          <w:p w14:paraId="4F5651F7" w14:textId="74933309" w:rsidR="00270238" w:rsidRPr="009348C9" w:rsidRDefault="00817207" w:rsidP="00120990">
            <w:pPr>
              <w:spacing w:before="40"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270238" w:rsidRPr="009348C9">
              <w:rPr>
                <w:rFonts w:ascii="Calibri" w:eastAsia="Times New Roman" w:hAnsi="Calibri" w:cs="Calibri"/>
                <w:color w:val="0D0D0D"/>
                <w:kern w:val="0"/>
                <w:sz w:val="20"/>
                <w:szCs w:val="20"/>
                <w:lang w:eastAsia="fr-FR"/>
                <w14:ligatures w14:val="none"/>
              </w:rPr>
              <w:t xml:space="preserve"> Iraq portal</w:t>
            </w:r>
            <w:r w:rsidR="001F2221">
              <w:rPr>
                <w:rFonts w:ascii="Calibri" w:eastAsia="Times New Roman" w:hAnsi="Calibri" w:cs="Calibri"/>
                <w:color w:val="0D0D0D"/>
                <w:kern w:val="0"/>
                <w:sz w:val="20"/>
                <w:szCs w:val="20"/>
                <w:lang w:eastAsia="fr-FR"/>
                <w14:ligatures w14:val="none"/>
              </w:rPr>
              <w:t>, SOE websites</w:t>
            </w:r>
          </w:p>
        </w:tc>
      </w:tr>
      <w:tr w:rsidR="00D82A23" w:rsidRPr="009348C9" w14:paraId="05844AB2" w14:textId="77777777" w:rsidTr="00C34292">
        <w:tc>
          <w:tcPr>
            <w:tcW w:w="0" w:type="auto"/>
            <w:hideMark/>
          </w:tcPr>
          <w:p w14:paraId="558F80FF" w14:textId="77777777" w:rsidR="00270238" w:rsidRPr="009348C9" w:rsidRDefault="00270238" w:rsidP="00120990">
            <w:pPr>
              <w:spacing w:before="40"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Legal and Contractual Basis for Social &amp; Environmental Payments</w:t>
            </w:r>
          </w:p>
        </w:tc>
        <w:tc>
          <w:tcPr>
            <w:tcW w:w="0" w:type="auto"/>
            <w:hideMark/>
          </w:tcPr>
          <w:p w14:paraId="7D5497E4" w14:textId="77777777" w:rsidR="00270238" w:rsidRPr="009348C9" w:rsidRDefault="00270238" w:rsidP="00120990">
            <w:pPr>
              <w:spacing w:before="40"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Disclosure of contracts and laws specifying mandatory contributions.</w:t>
            </w:r>
          </w:p>
        </w:tc>
        <w:tc>
          <w:tcPr>
            <w:tcW w:w="0" w:type="auto"/>
            <w:hideMark/>
          </w:tcPr>
          <w:p w14:paraId="3153FD31" w14:textId="77777777" w:rsidR="00270238" w:rsidRPr="009348C9" w:rsidRDefault="00270238" w:rsidP="00120990">
            <w:pPr>
              <w:spacing w:before="40"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Ministry of Oil, Ministry of Environment</w:t>
            </w:r>
          </w:p>
        </w:tc>
        <w:tc>
          <w:tcPr>
            <w:tcW w:w="0" w:type="auto"/>
            <w:hideMark/>
          </w:tcPr>
          <w:p w14:paraId="7E2501E9" w14:textId="77777777" w:rsidR="00270238" w:rsidRPr="009348C9" w:rsidRDefault="00270238" w:rsidP="00120990">
            <w:pPr>
              <w:spacing w:before="40"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By legal reference, company</w:t>
            </w:r>
          </w:p>
        </w:tc>
        <w:tc>
          <w:tcPr>
            <w:tcW w:w="0" w:type="auto"/>
            <w:hideMark/>
          </w:tcPr>
          <w:p w14:paraId="6CC741ED" w14:textId="77777777" w:rsidR="00270238" w:rsidRPr="009348C9" w:rsidRDefault="00270238" w:rsidP="00120990">
            <w:pPr>
              <w:spacing w:before="40"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Annually</w:t>
            </w:r>
          </w:p>
        </w:tc>
        <w:tc>
          <w:tcPr>
            <w:tcW w:w="0" w:type="auto"/>
            <w:hideMark/>
          </w:tcPr>
          <w:p w14:paraId="33390BB9" w14:textId="37E9BD5D" w:rsidR="00270238" w:rsidRPr="009348C9" w:rsidRDefault="00390C25" w:rsidP="00390C25">
            <w:pPr>
              <w:spacing w:before="40" w:after="40"/>
              <w:rPr>
                <w:rFonts w:ascii="Calibri" w:eastAsia="Times New Roman" w:hAnsi="Calibri" w:cs="Calibri"/>
                <w:color w:val="0D0D0D"/>
                <w:kern w:val="0"/>
                <w:sz w:val="20"/>
                <w:szCs w:val="20"/>
                <w:lang w:eastAsia="fr-FR"/>
                <w14:ligatures w14:val="none"/>
              </w:rPr>
            </w:pPr>
            <w:r w:rsidRPr="00390C25">
              <w:rPr>
                <w:rFonts w:ascii="Calibri" w:eastAsia="Times New Roman" w:hAnsi="Calibri" w:cs="Calibri"/>
                <w:b/>
                <w:bCs/>
                <w:color w:val="0D0D0D"/>
                <w:kern w:val="0"/>
                <w:sz w:val="20"/>
                <w:szCs w:val="20"/>
                <w:lang w:eastAsia="fr-FR"/>
                <w14:ligatures w14:val="none"/>
              </w:rPr>
              <w:t>CSV, HTML</w:t>
            </w:r>
            <w:r w:rsidRPr="00390C25">
              <w:rPr>
                <w:rFonts w:ascii="Calibri" w:eastAsia="Times New Roman" w:hAnsi="Calibri" w:cs="Calibri"/>
                <w:color w:val="0D0D0D"/>
                <w:kern w:val="0"/>
                <w:sz w:val="20"/>
                <w:szCs w:val="20"/>
                <w:lang w:eastAsia="fr-FR"/>
                <w14:ligatures w14:val="none"/>
              </w:rPr>
              <w:t xml:space="preserve"> (PDF optional)</w:t>
            </w:r>
          </w:p>
        </w:tc>
        <w:tc>
          <w:tcPr>
            <w:tcW w:w="0" w:type="auto"/>
            <w:hideMark/>
          </w:tcPr>
          <w:p w14:paraId="2E837DF7" w14:textId="795ACF23" w:rsidR="00270238" w:rsidRPr="009348C9" w:rsidRDefault="00817207" w:rsidP="00120990">
            <w:pPr>
              <w:spacing w:before="40"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390C25" w:rsidRPr="009348C9">
              <w:rPr>
                <w:rFonts w:ascii="Calibri" w:eastAsia="Times New Roman" w:hAnsi="Calibri" w:cs="Calibri"/>
                <w:color w:val="0D0D0D"/>
                <w:kern w:val="0"/>
                <w:sz w:val="20"/>
                <w:szCs w:val="20"/>
                <w:lang w:eastAsia="fr-FR"/>
                <w14:ligatures w14:val="none"/>
              </w:rPr>
              <w:t xml:space="preserve"> Iraq portal, Ministry of Environment website</w:t>
            </w:r>
          </w:p>
        </w:tc>
      </w:tr>
      <w:tr w:rsidR="00D82A23" w:rsidRPr="009348C9" w14:paraId="13B63358" w14:textId="77777777" w:rsidTr="00C34292">
        <w:tc>
          <w:tcPr>
            <w:tcW w:w="0" w:type="auto"/>
            <w:hideMark/>
          </w:tcPr>
          <w:p w14:paraId="3F323999" w14:textId="77777777" w:rsidR="00270238" w:rsidRPr="009348C9" w:rsidRDefault="00270238" w:rsidP="00120990">
            <w:pPr>
              <w:spacing w:before="40"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Discretionary Social &amp; Environmental Contributions</w:t>
            </w:r>
          </w:p>
        </w:tc>
        <w:tc>
          <w:tcPr>
            <w:tcW w:w="0" w:type="auto"/>
            <w:hideMark/>
          </w:tcPr>
          <w:p w14:paraId="04D87F7F" w14:textId="77777777" w:rsidR="00270238" w:rsidRPr="009348C9" w:rsidRDefault="00270238" w:rsidP="00120990">
            <w:pPr>
              <w:spacing w:before="40"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Voluntary social and environmental expenditures by companies, including donations and sponsorships.</w:t>
            </w:r>
          </w:p>
        </w:tc>
        <w:tc>
          <w:tcPr>
            <w:tcW w:w="0" w:type="auto"/>
            <w:hideMark/>
          </w:tcPr>
          <w:p w14:paraId="009FE79C" w14:textId="77777777" w:rsidR="00270238" w:rsidRPr="009348C9" w:rsidRDefault="00270238" w:rsidP="00120990">
            <w:pPr>
              <w:spacing w:before="40"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IOCs, SOEs</w:t>
            </w:r>
          </w:p>
        </w:tc>
        <w:tc>
          <w:tcPr>
            <w:tcW w:w="0" w:type="auto"/>
            <w:hideMark/>
          </w:tcPr>
          <w:p w14:paraId="1184EF31" w14:textId="77777777" w:rsidR="00270238" w:rsidRPr="009348C9" w:rsidRDefault="00270238" w:rsidP="00120990">
            <w:pPr>
              <w:spacing w:before="40"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By company, beneficiary, gender (if available)</w:t>
            </w:r>
          </w:p>
        </w:tc>
        <w:tc>
          <w:tcPr>
            <w:tcW w:w="0" w:type="auto"/>
            <w:hideMark/>
          </w:tcPr>
          <w:p w14:paraId="33D8E206" w14:textId="77777777" w:rsidR="00270238" w:rsidRPr="009348C9" w:rsidRDefault="00270238" w:rsidP="00120990">
            <w:pPr>
              <w:spacing w:before="40" w:after="40"/>
              <w:rPr>
                <w:rFonts w:ascii="Calibri" w:eastAsia="Times New Roman" w:hAnsi="Calibri" w:cs="Calibri"/>
                <w:color w:val="0D0D0D"/>
                <w:kern w:val="0"/>
                <w:sz w:val="20"/>
                <w:szCs w:val="20"/>
                <w:lang w:eastAsia="fr-FR"/>
                <w14:ligatures w14:val="none"/>
              </w:rPr>
            </w:pPr>
            <w:r w:rsidRPr="009348C9">
              <w:rPr>
                <w:rFonts w:ascii="Calibri" w:eastAsia="Times New Roman" w:hAnsi="Calibri" w:cs="Calibri"/>
                <w:color w:val="0D0D0D"/>
                <w:kern w:val="0"/>
                <w:sz w:val="20"/>
                <w:szCs w:val="20"/>
                <w:lang w:eastAsia="fr-FR"/>
                <w14:ligatures w14:val="none"/>
              </w:rPr>
              <w:t>Annually</w:t>
            </w:r>
          </w:p>
        </w:tc>
        <w:tc>
          <w:tcPr>
            <w:tcW w:w="0" w:type="auto"/>
            <w:hideMark/>
          </w:tcPr>
          <w:p w14:paraId="2263E081" w14:textId="6600EA19" w:rsidR="00270238" w:rsidRPr="009348C9" w:rsidRDefault="00390C25" w:rsidP="00120990">
            <w:pPr>
              <w:spacing w:before="40" w:after="40"/>
              <w:rPr>
                <w:rFonts w:ascii="Calibri" w:eastAsia="Times New Roman" w:hAnsi="Calibri" w:cs="Calibri"/>
                <w:color w:val="0D0D0D"/>
                <w:kern w:val="0"/>
                <w:sz w:val="20"/>
                <w:szCs w:val="20"/>
                <w:lang w:eastAsia="fr-FR"/>
                <w14:ligatures w14:val="none"/>
              </w:rPr>
            </w:pPr>
            <w:r w:rsidRPr="00390C25">
              <w:rPr>
                <w:rFonts w:ascii="Calibri" w:eastAsia="Times New Roman" w:hAnsi="Calibri" w:cs="Calibri"/>
                <w:b/>
                <w:bCs/>
                <w:color w:val="0D0D0D"/>
                <w:kern w:val="0"/>
                <w:sz w:val="20"/>
                <w:szCs w:val="20"/>
                <w:lang w:eastAsia="fr-FR"/>
                <w14:ligatures w14:val="none"/>
              </w:rPr>
              <w:t>CSV, HTML</w:t>
            </w:r>
            <w:r w:rsidRPr="00390C25">
              <w:rPr>
                <w:rFonts w:ascii="Calibri" w:eastAsia="Times New Roman" w:hAnsi="Calibri" w:cs="Calibri"/>
                <w:color w:val="0D0D0D"/>
                <w:kern w:val="0"/>
                <w:sz w:val="20"/>
                <w:szCs w:val="20"/>
                <w:lang w:eastAsia="fr-FR"/>
                <w14:ligatures w14:val="none"/>
              </w:rPr>
              <w:t xml:space="preserve"> (PDF optional)</w:t>
            </w:r>
          </w:p>
        </w:tc>
        <w:tc>
          <w:tcPr>
            <w:tcW w:w="0" w:type="auto"/>
            <w:hideMark/>
          </w:tcPr>
          <w:p w14:paraId="6CA8684D" w14:textId="67C59154" w:rsidR="00270238" w:rsidRPr="009348C9" w:rsidRDefault="00817207" w:rsidP="00120990">
            <w:pPr>
              <w:spacing w:before="40" w:after="40"/>
              <w:rPr>
                <w:rFonts w:ascii="Calibri" w:eastAsia="Times New Roman" w:hAnsi="Calibri" w:cs="Calibri"/>
                <w:color w:val="0D0D0D"/>
                <w:kern w:val="0"/>
                <w:sz w:val="20"/>
                <w:szCs w:val="20"/>
                <w:lang w:eastAsia="fr-FR"/>
                <w14:ligatures w14:val="none"/>
              </w:rPr>
            </w:pPr>
            <w:r>
              <w:rPr>
                <w:rFonts w:ascii="Calibri" w:eastAsia="Times New Roman" w:hAnsi="Calibri" w:cs="Calibri"/>
                <w:color w:val="0D0D0D"/>
                <w:kern w:val="0"/>
                <w:sz w:val="20"/>
                <w:szCs w:val="20"/>
                <w:lang w:eastAsia="fr-FR"/>
                <w14:ligatures w14:val="none"/>
              </w:rPr>
              <w:t>NRTC</w:t>
            </w:r>
            <w:r w:rsidR="00270238" w:rsidRPr="009348C9">
              <w:rPr>
                <w:rFonts w:ascii="Calibri" w:eastAsia="Times New Roman" w:hAnsi="Calibri" w:cs="Calibri"/>
                <w:color w:val="0D0D0D"/>
                <w:kern w:val="0"/>
                <w:sz w:val="20"/>
                <w:szCs w:val="20"/>
                <w:lang w:eastAsia="fr-FR"/>
                <w14:ligatures w14:val="none"/>
              </w:rPr>
              <w:t xml:space="preserve"> Iraq portal</w:t>
            </w:r>
            <w:r w:rsidR="001F2221">
              <w:rPr>
                <w:rFonts w:ascii="Calibri" w:eastAsia="Times New Roman" w:hAnsi="Calibri" w:cs="Calibri"/>
                <w:color w:val="0D0D0D"/>
                <w:kern w:val="0"/>
                <w:sz w:val="20"/>
                <w:szCs w:val="20"/>
                <w:lang w:eastAsia="fr-FR"/>
                <w14:ligatures w14:val="none"/>
              </w:rPr>
              <w:t>, SOE websites</w:t>
            </w:r>
          </w:p>
        </w:tc>
      </w:tr>
    </w:tbl>
    <w:p w14:paraId="1D982BCD" w14:textId="77777777" w:rsidR="00DE7DF5" w:rsidRPr="00A3573B" w:rsidRDefault="00DE7DF5" w:rsidP="00254520">
      <w:pPr>
        <w:rPr>
          <w:rFonts w:ascii="Kohinoor Devanagari" w:eastAsia="Times New Roman" w:hAnsi="Kohinoor Devanagari" w:cs="Kohinoor Devanagari"/>
          <w:b/>
          <w:bCs/>
          <w:color w:val="0D0D0D"/>
          <w:kern w:val="0"/>
          <w:sz w:val="22"/>
          <w:szCs w:val="22"/>
          <w:lang w:eastAsia="fr-FR"/>
          <w14:ligatures w14:val="none"/>
        </w:rPr>
      </w:pPr>
    </w:p>
    <w:p w14:paraId="77FC55CB" w14:textId="77777777" w:rsidR="00254520" w:rsidRPr="00A3573B" w:rsidRDefault="00254520" w:rsidP="00254520">
      <w:pPr>
        <w:rPr>
          <w:rFonts w:ascii="Kohinoor Devanagari" w:eastAsia="Trebuchet MS" w:hAnsi="Kohinoor Devanagari" w:cs="Kohinoor Devanagari"/>
          <w:b/>
          <w:color w:val="ED1A3A"/>
          <w:sz w:val="20"/>
          <w:szCs w:val="20"/>
        </w:rPr>
        <w:sectPr w:rsidR="00254520" w:rsidRPr="00A3573B" w:rsidSect="00254520">
          <w:headerReference w:type="even" r:id="rId22"/>
          <w:headerReference w:type="default" r:id="rId23"/>
          <w:footerReference w:type="default" r:id="rId24"/>
          <w:headerReference w:type="first" r:id="rId25"/>
          <w:pgSz w:w="11900" w:h="16840"/>
          <w:pgMar w:top="1418" w:right="1134" w:bottom="1418" w:left="1418" w:header="567" w:footer="567" w:gutter="0"/>
          <w:cols w:space="708"/>
          <w:docGrid w:linePitch="360"/>
        </w:sectPr>
      </w:pPr>
    </w:p>
    <w:p w14:paraId="267452A5" w14:textId="77777777" w:rsidR="00254520" w:rsidRPr="00A3573B" w:rsidRDefault="00254520" w:rsidP="00254520">
      <w:pPr>
        <w:rPr>
          <w:rFonts w:ascii="Kohinoor Devanagari" w:eastAsia="Trebuchet MS" w:hAnsi="Kohinoor Devanagari" w:cs="Kohinoor Devanagari"/>
          <w:b/>
          <w:color w:val="ED1A3A"/>
          <w:sz w:val="20"/>
          <w:szCs w:val="20"/>
        </w:rPr>
      </w:pPr>
      <w:r w:rsidRPr="00A3573B">
        <w:rPr>
          <w:rFonts w:ascii="Kohinoor Devanagari" w:hAnsi="Kohinoor Devanagari" w:cs="Kohinoor Devanagari"/>
          <w:noProof/>
          <w:sz w:val="20"/>
          <w:szCs w:val="20"/>
        </w:rPr>
        <mc:AlternateContent>
          <mc:Choice Requires="wps">
            <w:drawing>
              <wp:anchor distT="0" distB="0" distL="114300" distR="114300" simplePos="0" relativeHeight="251658244" behindDoc="1" locked="0" layoutInCell="1" allowOverlap="1" wp14:anchorId="2B292655" wp14:editId="004F3585">
                <wp:simplePos x="0" y="0"/>
                <wp:positionH relativeFrom="page">
                  <wp:posOffset>-21590</wp:posOffset>
                </wp:positionH>
                <wp:positionV relativeFrom="paragraph">
                  <wp:posOffset>-1011365</wp:posOffset>
                </wp:positionV>
                <wp:extent cx="7603490" cy="10742295"/>
                <wp:effectExtent l="0" t="0" r="0" b="1905"/>
                <wp:wrapNone/>
                <wp:docPr id="206284409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03490" cy="10742295"/>
                        </a:xfrm>
                        <a:prstGeom prst="rect">
                          <a:avLst/>
                        </a:prstGeom>
                        <a:solidFill>
                          <a:srgbClr val="47626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918BDF0">
              <v:rect id="Rectangle 5" style="position:absolute;margin-left:-1.7pt;margin-top:-79.65pt;width:598.7pt;height:845.8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47626f" stroked="f" w14:anchorId="13F63C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">
                <w10:wrap anchorx="page"/>
              </v:rect>
            </w:pict>
          </mc:Fallback>
        </mc:AlternateContent>
      </w:r>
    </w:p>
    <w:p w14:paraId="57934E32" w14:textId="60E80292" w:rsidR="00254520" w:rsidRPr="00A3573B" w:rsidRDefault="00254520" w:rsidP="00254520">
      <w:pPr>
        <w:rPr>
          <w:rFonts w:ascii="Kohinoor Devanagari" w:eastAsia="Trebuchet MS" w:hAnsi="Kohinoor Devanagari" w:cs="Kohinoor Devanagari"/>
          <w:b/>
          <w:color w:val="ED1A3A"/>
          <w:sz w:val="20"/>
          <w:szCs w:val="20"/>
        </w:rPr>
      </w:pPr>
      <w:r w:rsidRPr="00A3573B">
        <w:rPr>
          <w:rFonts w:ascii="Kohinoor Devanagari" w:hAnsi="Kohinoor Devanagari" w:cs="Kohinoor Devanagari"/>
          <w:noProof/>
          <w:sz w:val="20"/>
          <w:szCs w:val="20"/>
        </w:rPr>
        <mc:AlternateContent>
          <mc:Choice Requires="wps">
            <w:drawing>
              <wp:anchor distT="0" distB="0" distL="114300" distR="114300" simplePos="0" relativeHeight="251658245" behindDoc="0" locked="0" layoutInCell="1" allowOverlap="1" wp14:anchorId="5C824A9F" wp14:editId="0D7590A7">
                <wp:simplePos x="0" y="0"/>
                <wp:positionH relativeFrom="column">
                  <wp:posOffset>1020445</wp:posOffset>
                </wp:positionH>
                <wp:positionV relativeFrom="paragraph">
                  <wp:posOffset>1487170</wp:posOffset>
                </wp:positionV>
                <wp:extent cx="4800600" cy="1951990"/>
                <wp:effectExtent l="0" t="0" r="0" b="0"/>
                <wp:wrapNone/>
                <wp:docPr id="61496903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00600" cy="1951990"/>
                        </a:xfrm>
                        <a:prstGeom prst="rect">
                          <a:avLst/>
                        </a:prstGeom>
                      </wps:spPr>
                      <wps:txbx>
                        <w:txbxContent>
                          <w:p w14:paraId="123DCC5C" w14:textId="77777777" w:rsidR="00254520" w:rsidRPr="00FA21AC" w:rsidRDefault="00254520" w:rsidP="00254520">
                            <w:pPr>
                              <w:spacing w:after="60"/>
                              <w:textAlignment w:val="baseline"/>
                              <w:rPr>
                                <w:rFonts w:ascii="Kohinoor Devanagari" w:hAnsi="Kohinoor Devanagari" w:cs="Kohinoor Devanagari"/>
                                <w:color w:val="0E2841" w:themeColor="text2"/>
                                <w:kern w:val="24"/>
                                <w:sz w:val="16"/>
                                <w:szCs w:val="16"/>
                                <w:lang w:val="fr-FR"/>
                              </w:rPr>
                            </w:pPr>
                            <w:r w:rsidRPr="00FA21AC">
                              <w:rPr>
                                <w:rFonts w:ascii="Calibri" w:hAnsi="Calibri" w:cs="Calibri"/>
                                <w:color w:val="0E2841" w:themeColor="text2"/>
                                <w:kern w:val="24"/>
                                <w:sz w:val="16"/>
                                <w:szCs w:val="16"/>
                                <w:lang w:val="fr-FR"/>
                              </w:rPr>
                              <w:t>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5C824A9F" id="Rectangle 4" o:spid="_x0000_s1027" style="position:absolute;margin-left:80.35pt;margin-top:117.1pt;width:378pt;height:153.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" filled="f" stroked="f">
                <v:textbox>
                  <w:txbxContent>
                    <w:p w14:paraId="123DCC5C" w14:textId="77777777" w:rsidR="00254520" w:rsidRPr="00FA21AC" w:rsidRDefault="00254520" w:rsidP="00254520">
                      <w:pPr>
                        <w:spacing w:after="60"/>
                        <w:textAlignment w:val="baseline"/>
                        <w:rPr>
                          <w:rFonts w:ascii="Kohinoor Devanagari" w:hAnsi="Kohinoor Devanagari" w:cs="Kohinoor Devanagari"/>
                          <w:color w:val="0E2841" w:themeColor="text2"/>
                          <w:kern w:val="24"/>
                          <w:sz w:val="16"/>
                          <w:szCs w:val="16"/>
                          <w:lang w:val="fr-FR"/>
                        </w:rPr>
                      </w:pPr>
                      <w:r w:rsidRPr="00FA21AC">
                        <w:rPr>
                          <w:rFonts w:ascii="Calibri" w:hAnsi="Calibri" w:cs="Calibri"/>
                          <w:color w:val="0E2841" w:themeColor="text2"/>
                          <w:kern w:val="24"/>
                          <w:sz w:val="16"/>
                          <w:szCs w:val="16"/>
                          <w:lang w:val="fr-FR"/>
                        </w:rPr>
                        <w:t> </w:t>
                      </w:r>
                    </w:p>
                  </w:txbxContent>
                </v:textbox>
              </v:rect>
            </w:pict>
          </mc:Fallback>
        </mc:AlternateContent>
      </w:r>
    </w:p>
    <w:p w14:paraId="492BAE3A" w14:textId="77777777" w:rsidR="00254520" w:rsidRPr="00A3573B" w:rsidRDefault="00254520" w:rsidP="00254520">
      <w:pPr>
        <w:spacing w:after="0" w:line="240" w:lineRule="auto"/>
        <w:rPr>
          <w:rFonts w:ascii="Kohinoor Devanagari" w:eastAsia="Times New Roman" w:hAnsi="Kohinoor Devanagari" w:cs="Kohinoor Devanagari"/>
          <w:color w:val="000000" w:themeColor="text1"/>
          <w:kern w:val="0"/>
          <w:sz w:val="20"/>
          <w:szCs w:val="20"/>
          <w:lang w:eastAsia="fr-FR"/>
          <w14:ligatures w14:val="none"/>
        </w:rPr>
      </w:pPr>
    </w:p>
    <w:p w14:paraId="2BC7CDA6" w14:textId="77777777" w:rsidR="00254520" w:rsidRPr="00A3573B" w:rsidRDefault="00254520" w:rsidP="00254520">
      <w:pPr>
        <w:rPr>
          <w:rFonts w:ascii="Kohinoor Devanagari" w:hAnsi="Kohinoor Devanagari" w:cs="Kohinoor Devanagari"/>
          <w:sz w:val="20"/>
          <w:szCs w:val="20"/>
        </w:rPr>
      </w:pPr>
    </w:p>
    <w:p w14:paraId="58CC9D2B" w14:textId="77777777" w:rsidR="00D13032" w:rsidRPr="00A3573B" w:rsidRDefault="00D13032" w:rsidP="00C33FCF">
      <w:pPr>
        <w:spacing w:before="120" w:after="120" w:line="240" w:lineRule="auto"/>
        <w:jc w:val="both"/>
        <w:rPr>
          <w:rFonts w:ascii="Kohinoor Devanagari" w:hAnsi="Kohinoor Devanagari" w:cs="Kohinoor Devanagari"/>
          <w:sz w:val="22"/>
          <w:szCs w:val="22"/>
        </w:rPr>
      </w:pPr>
    </w:p>
    <w:sectPr w:rsidR="00D13032" w:rsidRPr="00A357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AD853" w14:textId="77777777" w:rsidR="006F6314" w:rsidRDefault="006F6314" w:rsidP="00774C03">
      <w:pPr>
        <w:spacing w:after="0" w:line="240" w:lineRule="auto"/>
      </w:pPr>
      <w:r>
        <w:separator/>
      </w:r>
    </w:p>
  </w:endnote>
  <w:endnote w:type="continuationSeparator" w:id="0">
    <w:p w14:paraId="691415A6" w14:textId="77777777" w:rsidR="006F6314" w:rsidRDefault="006F6314" w:rsidP="00774C03">
      <w:pPr>
        <w:spacing w:after="0" w:line="240" w:lineRule="auto"/>
      </w:pPr>
      <w:r>
        <w:continuationSeparator/>
      </w:r>
    </w:p>
  </w:endnote>
  <w:endnote w:type="continuationNotice" w:id="1">
    <w:p w14:paraId="131DEFCB" w14:textId="77777777" w:rsidR="006F6314" w:rsidRDefault="006F63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albaum Text">
    <w:charset w:val="00"/>
    <w:family w:val="roman"/>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rebuchet MS">
    <w:panose1 w:val="020B0603020202020204"/>
    <w:charset w:val="00"/>
    <w:family w:val="swiss"/>
    <w:pitch w:val="variable"/>
    <w:sig w:usb0="00000687" w:usb1="00000000" w:usb2="00000000" w:usb3="00000000" w:csb0="0000009F" w:csb1="00000000"/>
  </w:font>
  <w:font w:name="Calibri (Corps)">
    <w:altName w:val="Calibri"/>
    <w:charset w:val="00"/>
    <w:family w:val="roman"/>
    <w:pitch w:val="default"/>
  </w:font>
  <w:font w:name="Kohinoor Devanagari">
    <w:altName w:val="Mangal"/>
    <w:panose1 w:val="00000000000000000000"/>
    <w:charset w:val="00"/>
    <w:family w:val="modern"/>
    <w:notTrueType/>
    <w:pitch w:val="variable"/>
    <w:sig w:usb0="00008007" w:usb1="00000000" w:usb2="000000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CAFDA" w14:textId="609572E7" w:rsidR="002E77A2" w:rsidRPr="004218C6" w:rsidRDefault="00620911" w:rsidP="00BF41E6">
    <w:r>
      <w:rPr>
        <w:noProof/>
      </w:rPr>
      <mc:AlternateContent>
        <mc:Choice Requires="wps">
          <w:drawing>
            <wp:anchor distT="0" distB="0" distL="0" distR="0" simplePos="0" relativeHeight="251660296" behindDoc="0" locked="0" layoutInCell="1" allowOverlap="1" wp14:anchorId="6065FE74" wp14:editId="791B4330">
              <wp:simplePos x="635" y="635"/>
              <wp:positionH relativeFrom="page">
                <wp:align>right</wp:align>
              </wp:positionH>
              <wp:positionV relativeFrom="page">
                <wp:align>bottom</wp:align>
              </wp:positionV>
              <wp:extent cx="1170305" cy="370205"/>
              <wp:effectExtent l="0" t="0" r="0" b="0"/>
              <wp:wrapNone/>
              <wp:docPr id="1332417984"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6A9C320C" w14:textId="0538E27C" w:rsidR="00620911" w:rsidRPr="00620911" w:rsidRDefault="00620911" w:rsidP="00620911">
                          <w:pPr>
                            <w:spacing w:after="0"/>
                            <w:rPr>
                              <w:rFonts w:ascii="Aptos" w:eastAsia="Aptos" w:hAnsi="Aptos" w:cs="Aptos"/>
                              <w:noProof/>
                              <w:color w:val="000000"/>
                              <w:sz w:val="20"/>
                              <w:szCs w:val="20"/>
                            </w:rPr>
                          </w:pPr>
                          <w:r w:rsidRPr="00620911">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065FE74" id="_x0000_t202" coordsize="21600,21600" o:spt="202" path="m,l,21600r21600,l21600,xe">
              <v:stroke joinstyle="miter"/>
              <v:path gradientshapeok="t" o:connecttype="rect"/>
            </v:shapetype>
            <v:shape id="Text Box 2" o:spid="_x0000_s1028" type="#_x0000_t202" alt="Official Use Only" style="position:absolute;margin-left:40.95pt;margin-top:0;width:92.15pt;height:29.15pt;z-index:25166029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" filled="f" stroked="f">
              <v:textbox style="mso-fit-shape-to-text:t" inset="0,0,20pt,15pt">
                <w:txbxContent>
                  <w:p w14:paraId="6A9C320C" w14:textId="0538E27C" w:rsidR="00620911" w:rsidRPr="00620911" w:rsidRDefault="00620911" w:rsidP="00620911">
                    <w:pPr>
                      <w:spacing w:after="0"/>
                      <w:rPr>
                        <w:rFonts w:ascii="Aptos" w:eastAsia="Aptos" w:hAnsi="Aptos" w:cs="Aptos"/>
                        <w:noProof/>
                        <w:color w:val="000000"/>
                        <w:sz w:val="20"/>
                        <w:szCs w:val="20"/>
                      </w:rPr>
                    </w:pPr>
                    <w:r w:rsidRPr="00620911">
                      <w:rPr>
                        <w:rFonts w:ascii="Aptos" w:eastAsia="Aptos" w:hAnsi="Aptos" w:cs="Aptos"/>
                        <w:noProof/>
                        <w:color w:val="000000"/>
                        <w:sz w:val="20"/>
                        <w:szCs w:val="20"/>
                      </w:rPr>
                      <w:t>Official Use Only</w:t>
                    </w:r>
                  </w:p>
                </w:txbxContent>
              </v:textbox>
              <w10:wrap anchorx="page" anchory="page"/>
            </v:shape>
          </w:pict>
        </mc:Fallback>
      </mc:AlternateContent>
    </w:r>
  </w:p>
  <w:sdt>
    <w:sdtPr>
      <w:id w:val="1766952739"/>
      <w:docPartObj>
        <w:docPartGallery w:val="Page Numbers (Bottom of Page)"/>
        <w:docPartUnique/>
      </w:docPartObj>
    </w:sdtPr>
    <w:sdtContent>
      <w:p w14:paraId="4E4DD082" w14:textId="77777777" w:rsidR="002E77A2" w:rsidRPr="004218C6" w:rsidRDefault="002E77A2" w:rsidP="00BF41E6">
        <w:r w:rsidRPr="004218C6">
          <w:fldChar w:fldCharType="begin"/>
        </w:r>
        <w:r w:rsidRPr="004218C6">
          <w:instrText xml:space="preserve"> PAGE </w:instrText>
        </w:r>
        <w:r w:rsidRPr="004218C6">
          <w:fldChar w:fldCharType="separate"/>
        </w:r>
        <w:r w:rsidRPr="004218C6">
          <w:t>1</w:t>
        </w:r>
        <w:r w:rsidRPr="004218C6">
          <w:fldChar w:fldCharType="end"/>
        </w:r>
      </w:p>
    </w:sdtContent>
  </w:sdt>
  <w:p w14:paraId="2EC30980" w14:textId="77777777" w:rsidR="002E77A2" w:rsidRPr="004218C6" w:rsidRDefault="002E77A2" w:rsidP="00BF41E6"/>
  <w:p w14:paraId="0B503C09" w14:textId="77777777" w:rsidR="002E77A2" w:rsidRPr="004218C6" w:rsidRDefault="002E77A2" w:rsidP="00BF41E6"/>
  <w:p w14:paraId="201BD227" w14:textId="77777777" w:rsidR="002E77A2" w:rsidRPr="004218C6" w:rsidRDefault="002E77A2" w:rsidP="00BF41E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35776" w14:textId="2463701E" w:rsidR="002E77A2" w:rsidRPr="004218C6" w:rsidRDefault="00620911" w:rsidP="00BF41E6">
    <w:r>
      <w:rPr>
        <w:noProof/>
      </w:rPr>
      <mc:AlternateContent>
        <mc:Choice Requires="wps">
          <w:drawing>
            <wp:anchor distT="0" distB="0" distL="0" distR="0" simplePos="0" relativeHeight="251661320" behindDoc="0" locked="0" layoutInCell="1" allowOverlap="1" wp14:anchorId="15D0F9AE" wp14:editId="39A72547">
              <wp:simplePos x="635" y="635"/>
              <wp:positionH relativeFrom="page">
                <wp:align>right</wp:align>
              </wp:positionH>
              <wp:positionV relativeFrom="page">
                <wp:align>bottom</wp:align>
              </wp:positionV>
              <wp:extent cx="1170305" cy="370205"/>
              <wp:effectExtent l="0" t="0" r="0" b="0"/>
              <wp:wrapNone/>
              <wp:docPr id="2140027748"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0AF2168A" w14:textId="045762E9" w:rsidR="00620911" w:rsidRPr="00620911" w:rsidRDefault="00620911" w:rsidP="00620911">
                          <w:pPr>
                            <w:spacing w:after="0"/>
                            <w:rPr>
                              <w:rFonts w:ascii="Aptos" w:eastAsia="Aptos" w:hAnsi="Aptos" w:cs="Aptos"/>
                              <w:noProof/>
                              <w:color w:val="000000"/>
                              <w:sz w:val="20"/>
                              <w:szCs w:val="20"/>
                            </w:rPr>
                          </w:pPr>
                          <w:r w:rsidRPr="00620911">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5D0F9AE" id="_x0000_t202" coordsize="21600,21600" o:spt="202" path="m,l,21600r21600,l21600,xe">
              <v:stroke joinstyle="miter"/>
              <v:path gradientshapeok="t" o:connecttype="rect"/>
            </v:shapetype>
            <v:shape id="Text Box 3" o:spid="_x0000_s1029" type="#_x0000_t202" alt="Official Use Only" style="position:absolute;margin-left:40.95pt;margin-top:0;width:92.15pt;height:29.15pt;z-index:25166132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" filled="f" stroked="f">
              <v:textbox style="mso-fit-shape-to-text:t" inset="0,0,20pt,15pt">
                <w:txbxContent>
                  <w:p w14:paraId="0AF2168A" w14:textId="045762E9" w:rsidR="00620911" w:rsidRPr="00620911" w:rsidRDefault="00620911" w:rsidP="00620911">
                    <w:pPr>
                      <w:spacing w:after="0"/>
                      <w:rPr>
                        <w:rFonts w:ascii="Aptos" w:eastAsia="Aptos" w:hAnsi="Aptos" w:cs="Aptos"/>
                        <w:noProof/>
                        <w:color w:val="000000"/>
                        <w:sz w:val="20"/>
                        <w:szCs w:val="20"/>
                      </w:rPr>
                    </w:pPr>
                    <w:r w:rsidRPr="00620911">
                      <w:rPr>
                        <w:rFonts w:ascii="Aptos" w:eastAsia="Aptos" w:hAnsi="Aptos" w:cs="Aptos"/>
                        <w:noProof/>
                        <w:color w:val="000000"/>
                        <w:sz w:val="20"/>
                        <w:szCs w:val="20"/>
                      </w:rPr>
                      <w:t>Official Use Only</w:t>
                    </w:r>
                  </w:p>
                </w:txbxContent>
              </v:textbox>
              <w10:wrap anchorx="page" anchory="page"/>
            </v:shape>
          </w:pict>
        </mc:Fallback>
      </mc:AlternateContent>
    </w:r>
  </w:p>
  <w:p w14:paraId="2F3F1D7D" w14:textId="77777777" w:rsidR="002E77A2" w:rsidRPr="004218C6" w:rsidRDefault="002E77A2" w:rsidP="00BF41E6"/>
  <w:p w14:paraId="235B1329" w14:textId="77777777" w:rsidR="002E77A2" w:rsidRPr="004218C6" w:rsidRDefault="002E77A2" w:rsidP="00BF41E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CCF5A" w14:textId="1857C935" w:rsidR="00620911" w:rsidRDefault="00620911">
    <w:pPr>
      <w:pStyle w:val="Footer"/>
    </w:pPr>
    <w:r>
      <w:rPr>
        <w:noProof/>
      </w:rPr>
      <mc:AlternateContent>
        <mc:Choice Requires="wps">
          <w:drawing>
            <wp:anchor distT="0" distB="0" distL="0" distR="0" simplePos="0" relativeHeight="251659272" behindDoc="0" locked="0" layoutInCell="1" allowOverlap="1" wp14:anchorId="7ACEC1DA" wp14:editId="782877C9">
              <wp:simplePos x="635" y="635"/>
              <wp:positionH relativeFrom="page">
                <wp:align>right</wp:align>
              </wp:positionH>
              <wp:positionV relativeFrom="page">
                <wp:align>bottom</wp:align>
              </wp:positionV>
              <wp:extent cx="1170305" cy="370205"/>
              <wp:effectExtent l="0" t="0" r="0" b="0"/>
              <wp:wrapNone/>
              <wp:docPr id="1144126126"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7FEE858A" w14:textId="7C86022E" w:rsidR="00620911" w:rsidRPr="00620911" w:rsidRDefault="00620911" w:rsidP="00620911">
                          <w:pPr>
                            <w:spacing w:after="0"/>
                            <w:rPr>
                              <w:rFonts w:ascii="Aptos" w:eastAsia="Aptos" w:hAnsi="Aptos" w:cs="Aptos"/>
                              <w:noProof/>
                              <w:color w:val="000000"/>
                              <w:sz w:val="20"/>
                              <w:szCs w:val="20"/>
                            </w:rPr>
                          </w:pPr>
                          <w:r w:rsidRPr="00620911">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ACEC1DA" id="_x0000_t202" coordsize="21600,21600" o:spt="202" path="m,l,21600r21600,l21600,xe">
              <v:stroke joinstyle="miter"/>
              <v:path gradientshapeok="t" o:connecttype="rect"/>
            </v:shapetype>
            <v:shape id="Text Box 1" o:spid="_x0000_s1030" type="#_x0000_t202" alt="Official Use Only" style="position:absolute;margin-left:40.95pt;margin-top:0;width:92.15pt;height:29.15pt;z-index:25165927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" filled="f" stroked="f">
              <v:textbox style="mso-fit-shape-to-text:t" inset="0,0,20pt,15pt">
                <w:txbxContent>
                  <w:p w14:paraId="7FEE858A" w14:textId="7C86022E" w:rsidR="00620911" w:rsidRPr="00620911" w:rsidRDefault="00620911" w:rsidP="00620911">
                    <w:pPr>
                      <w:spacing w:after="0"/>
                      <w:rPr>
                        <w:rFonts w:ascii="Aptos" w:eastAsia="Aptos" w:hAnsi="Aptos" w:cs="Aptos"/>
                        <w:noProof/>
                        <w:color w:val="000000"/>
                        <w:sz w:val="20"/>
                        <w:szCs w:val="20"/>
                      </w:rPr>
                    </w:pPr>
                    <w:r w:rsidRPr="00620911">
                      <w:rPr>
                        <w:rFonts w:ascii="Aptos" w:eastAsia="Aptos" w:hAnsi="Aptos" w:cs="Aptos"/>
                        <w:noProof/>
                        <w:color w:val="000000"/>
                        <w:sz w:val="20"/>
                        <w:szCs w:val="20"/>
                      </w:rPr>
                      <w:t>Official Use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891DC" w14:textId="1EAE8436" w:rsidR="002E77A2" w:rsidRPr="000A59F3" w:rsidRDefault="00620911" w:rsidP="00BF41E6">
    <w:pPr>
      <w:pStyle w:val="Footer"/>
      <w:jc w:val="right"/>
      <w:rPr>
        <w:rFonts w:ascii="Kohinoor Devanagari" w:hAnsi="Kohinoor Devanagari" w:cs="Kohinoor Devanagari"/>
        <w:sz w:val="16"/>
        <w:szCs w:val="16"/>
      </w:rPr>
    </w:pPr>
    <w:r>
      <w:rPr>
        <w:rFonts w:ascii="Kohinoor Devanagari" w:hAnsi="Kohinoor Devanagari" w:cs="Kohinoor Devanagari"/>
        <w:noProof/>
        <w:color w:val="61BC4D"/>
        <w:sz w:val="16"/>
        <w:szCs w:val="16"/>
      </w:rPr>
      <mc:AlternateContent>
        <mc:Choice Requires="wps">
          <w:drawing>
            <wp:anchor distT="0" distB="0" distL="0" distR="0" simplePos="0" relativeHeight="251662344" behindDoc="0" locked="0" layoutInCell="1" allowOverlap="1" wp14:anchorId="6407C8C4" wp14:editId="5261EDB4">
              <wp:simplePos x="635" y="635"/>
              <wp:positionH relativeFrom="page">
                <wp:align>right</wp:align>
              </wp:positionH>
              <wp:positionV relativeFrom="page">
                <wp:align>bottom</wp:align>
              </wp:positionV>
              <wp:extent cx="1170305" cy="370205"/>
              <wp:effectExtent l="0" t="0" r="0" b="0"/>
              <wp:wrapNone/>
              <wp:docPr id="823324446" name="Text Box 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048E27FC" w14:textId="5CA09BA7" w:rsidR="00620911" w:rsidRPr="00620911" w:rsidRDefault="00620911" w:rsidP="00620911">
                          <w:pPr>
                            <w:spacing w:after="0"/>
                            <w:rPr>
                              <w:rFonts w:ascii="Aptos" w:eastAsia="Aptos" w:hAnsi="Aptos" w:cs="Aptos"/>
                              <w:noProof/>
                              <w:color w:val="000000"/>
                              <w:sz w:val="20"/>
                              <w:szCs w:val="20"/>
                            </w:rPr>
                          </w:pPr>
                          <w:r w:rsidRPr="00620911">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407C8C4" id="_x0000_t202" coordsize="21600,21600" o:spt="202" path="m,l,21600r21600,l21600,xe">
              <v:stroke joinstyle="miter"/>
              <v:path gradientshapeok="t" o:connecttype="rect"/>
            </v:shapetype>
            <v:shape id="Text Box 4" o:spid="_x0000_s1031" type="#_x0000_t202" alt="Official Use Only" style="position:absolute;left:0;text-align:left;margin-left:40.95pt;margin-top:0;width:92.15pt;height:29.15pt;z-index:2516623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" filled="f" stroked="f">
              <v:textbox style="mso-fit-shape-to-text:t" inset="0,0,20pt,15pt">
                <w:txbxContent>
                  <w:p w14:paraId="048E27FC" w14:textId="5CA09BA7" w:rsidR="00620911" w:rsidRPr="00620911" w:rsidRDefault="00620911" w:rsidP="00620911">
                    <w:pPr>
                      <w:spacing w:after="0"/>
                      <w:rPr>
                        <w:rFonts w:ascii="Aptos" w:eastAsia="Aptos" w:hAnsi="Aptos" w:cs="Aptos"/>
                        <w:noProof/>
                        <w:color w:val="000000"/>
                        <w:sz w:val="20"/>
                        <w:szCs w:val="20"/>
                      </w:rPr>
                    </w:pPr>
                    <w:r w:rsidRPr="00620911">
                      <w:rPr>
                        <w:rFonts w:ascii="Aptos" w:eastAsia="Aptos" w:hAnsi="Aptos" w:cs="Aptos"/>
                        <w:noProof/>
                        <w:color w:val="000000"/>
                        <w:sz w:val="20"/>
                        <w:szCs w:val="20"/>
                      </w:rPr>
                      <w:t>Official Use Only</w:t>
                    </w:r>
                  </w:p>
                </w:txbxContent>
              </v:textbox>
              <w10:wrap anchorx="page" anchory="page"/>
            </v:shape>
          </w:pict>
        </mc:Fallback>
      </mc:AlternateContent>
    </w:r>
    <w:r w:rsidR="002E77A2">
      <w:rPr>
        <w:rFonts w:ascii="Kohinoor Devanagari" w:hAnsi="Kohinoor Devanagari" w:cs="Kohinoor Devanagari"/>
        <w:color w:val="61BC4D"/>
        <w:sz w:val="16"/>
        <w:szCs w:val="16"/>
      </w:rPr>
      <w:tab/>
    </w:r>
    <w:r w:rsidR="002E77A2">
      <w:rPr>
        <w:rFonts w:ascii="Kohinoor Devanagari" w:hAnsi="Kohinoor Devanagari" w:cs="Kohinoor Devanagari"/>
        <w:color w:val="61BC4D"/>
        <w:sz w:val="16"/>
        <w:szCs w:val="16"/>
      </w:rPr>
      <w:tab/>
    </w:r>
    <w:r w:rsidR="002E77A2">
      <w:rPr>
        <w:noProof/>
      </w:rPr>
      <mc:AlternateContent>
        <mc:Choice Requires="wpg">
          <w:drawing>
            <wp:inline distT="0" distB="0" distL="0" distR="0" wp14:anchorId="639C979B" wp14:editId="09710AE0">
              <wp:extent cx="280670" cy="94615"/>
              <wp:effectExtent l="2540" t="1905" r="2540" b="8255"/>
              <wp:docPr id="965391507" name="Grou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670" cy="94615"/>
                        <a:chOff x="8013" y="200"/>
                        <a:chExt cx="442" cy="149"/>
                      </a:xfrm>
                    </wpg:grpSpPr>
                    <wps:wsp>
                      <wps:cNvPr id="920498425" name="docshape26"/>
                      <wps:cNvSpPr>
                        <a:spLocks/>
                      </wps:cNvSpPr>
                      <wps:spPr bwMode="auto">
                        <a:xfrm>
                          <a:off x="8013" y="274"/>
                          <a:ext cx="442" cy="74"/>
                        </a:xfrm>
                        <a:custGeom>
                          <a:avLst/>
                          <a:gdLst>
                            <a:gd name="T0" fmla="*/ 333 w 442"/>
                            <a:gd name="T1" fmla="*/ 275 h 74"/>
                            <a:gd name="T2" fmla="*/ 0 w 442"/>
                            <a:gd name="T3" fmla="*/ 275 h 74"/>
                            <a:gd name="T4" fmla="*/ 442 w 442"/>
                            <a:gd name="T5" fmla="*/ 349 h 74"/>
                            <a:gd name="T6" fmla="*/ 333 w 442"/>
                            <a:gd name="T7" fmla="*/ 275 h 7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42" h="74">
                              <a:moveTo>
                                <a:pt x="333" y="0"/>
                              </a:moveTo>
                              <a:lnTo>
                                <a:pt x="0" y="0"/>
                              </a:lnTo>
                              <a:lnTo>
                                <a:pt x="442" y="74"/>
                              </a:lnTo>
                              <a:lnTo>
                                <a:pt x="333" y="0"/>
                              </a:lnTo>
                              <a:close/>
                            </a:path>
                          </a:pathLst>
                        </a:custGeom>
                        <a:solidFill>
                          <a:srgbClr val="61BC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421983" name="docshape27"/>
                      <wps:cNvSpPr>
                        <a:spLocks/>
                      </wps:cNvSpPr>
                      <wps:spPr bwMode="auto">
                        <a:xfrm>
                          <a:off x="8013" y="199"/>
                          <a:ext cx="442" cy="75"/>
                        </a:xfrm>
                        <a:custGeom>
                          <a:avLst/>
                          <a:gdLst>
                            <a:gd name="T0" fmla="*/ 442 w 442"/>
                            <a:gd name="T1" fmla="*/ 200 h 75"/>
                            <a:gd name="T2" fmla="*/ 0 w 442"/>
                            <a:gd name="T3" fmla="*/ 275 h 75"/>
                            <a:gd name="T4" fmla="*/ 333 w 442"/>
                            <a:gd name="T5" fmla="*/ 275 h 75"/>
                            <a:gd name="T6" fmla="*/ 442 w 442"/>
                            <a:gd name="T7" fmla="*/ 200 h 7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42" h="75">
                              <a:moveTo>
                                <a:pt x="442" y="0"/>
                              </a:moveTo>
                              <a:lnTo>
                                <a:pt x="0" y="75"/>
                              </a:lnTo>
                              <a:lnTo>
                                <a:pt x="333" y="75"/>
                              </a:lnTo>
                              <a:lnTo>
                                <a:pt x="442" y="0"/>
                              </a:lnTo>
                              <a:close/>
                            </a:path>
                          </a:pathLst>
                        </a:custGeom>
                        <a:solidFill>
                          <a:srgbClr val="B8D9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2009952" name="docshape28"/>
                      <wps:cNvSpPr>
                        <a:spLocks/>
                      </wps:cNvSpPr>
                      <wps:spPr bwMode="auto">
                        <a:xfrm>
                          <a:off x="8346" y="199"/>
                          <a:ext cx="109" cy="149"/>
                        </a:xfrm>
                        <a:custGeom>
                          <a:avLst/>
                          <a:gdLst>
                            <a:gd name="T0" fmla="*/ 109 w 109"/>
                            <a:gd name="T1" fmla="*/ 200 h 149"/>
                            <a:gd name="T2" fmla="*/ 0 w 109"/>
                            <a:gd name="T3" fmla="*/ 275 h 149"/>
                            <a:gd name="T4" fmla="*/ 109 w 109"/>
                            <a:gd name="T5" fmla="*/ 349 h 149"/>
                            <a:gd name="T6" fmla="*/ 109 w 109"/>
                            <a:gd name="T7" fmla="*/ 200 h 14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9" h="149">
                              <a:moveTo>
                                <a:pt x="109" y="0"/>
                              </a:moveTo>
                              <a:lnTo>
                                <a:pt x="0" y="75"/>
                              </a:lnTo>
                              <a:lnTo>
                                <a:pt x="109" y="149"/>
                              </a:lnTo>
                              <a:lnTo>
                                <a:pt x="109" y="0"/>
                              </a:lnTo>
                              <a:close/>
                            </a:path>
                          </a:pathLst>
                        </a:custGeom>
                        <a:solidFill>
                          <a:srgbClr val="8DC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14="http://schemas.microsoft.com/office/drawing/2010/main" xmlns:a="http://schemas.openxmlformats.org/drawingml/2006/main">
          <w:pict w14:anchorId="032C240E">
            <v:group id="Groupe 3" style="width:22.1pt;height:7.45pt;mso-position-horizontal-relative:char;mso-position-vertical-relative:line" coordsize="442,149" coordorigin="8013,200" o:spid="_x0000_s1026" w14:anchorId="2C2061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">
              <v:shape id="docshape26" style="position:absolute;left:8013;top:274;width:442;height:74;visibility:visible;mso-wrap-style:square;v-text-anchor:top" coordsize="442,74" o:spid="_x0000_s1027" fillcolor="#61bc4d" stroked="f" path="m333,l,,442,74,3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">
                <v:path arrowok="t" o:connecttype="custom" o:connectlocs="333,275;0,275;442,349;333,275" o:connectangles="0,0,0,0"/>
              </v:shape>
              <v:shape id="docshape27" style="position:absolute;left:8013;top:199;width:442;height:75;visibility:visible;mso-wrap-style:square;v-text-anchor:top" coordsize="442,75" o:spid="_x0000_s1028" fillcolor="#b8d982" stroked="f" path="m442,l,75r333,l4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">
                <v:path arrowok="t" o:connecttype="custom" o:connectlocs="442,200;0,275;333,275;442,200" o:connectangles="0,0,0,0"/>
              </v:shape>
              <v:shape id="docshape28" style="position:absolute;left:8346;top:199;width:109;height:149;visibility:visible;mso-wrap-style:square;v-text-anchor:top" coordsize="109,149" o:spid="_x0000_s1029" fillcolor="#8dc858" stroked="f" path="m109,l,75r109,74l1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">
                <v:path arrowok="t" o:connecttype="custom" o:connectlocs="109,200;0,275;109,349;109,200" o:connectangles="0,0,0,0"/>
              </v:shape>
              <w10:anchorlock/>
            </v:group>
          </w:pict>
        </mc:Fallback>
      </mc:AlternateContent>
    </w:r>
    <w:r w:rsidR="002E77A2" w:rsidRPr="004F27D7">
      <w:rPr>
        <w:rStyle w:val="PageNumber"/>
        <w:rFonts w:ascii="Kohinoor Devanagari" w:hAnsi="Kohinoor Devanagari" w:cs="Kohinoor Devanagari"/>
        <w:sz w:val="16"/>
        <w:szCs w:val="16"/>
      </w:rPr>
      <w:t xml:space="preserve"> </w:t>
    </w:r>
    <w:sdt>
      <w:sdtPr>
        <w:rPr>
          <w:rStyle w:val="PageNumber"/>
          <w:rFonts w:ascii="Kohinoor Devanagari" w:hAnsi="Kohinoor Devanagari" w:cs="Kohinoor Devanagari"/>
          <w:sz w:val="16"/>
          <w:szCs w:val="16"/>
        </w:rPr>
        <w:id w:val="236991516"/>
        <w:docPartObj>
          <w:docPartGallery w:val="Page Numbers (Bottom of Page)"/>
          <w:docPartUnique/>
        </w:docPartObj>
      </w:sdtPr>
      <w:sdtContent>
        <w:r w:rsidR="002E77A2" w:rsidRPr="00004BD2">
          <w:rPr>
            <w:rStyle w:val="PageNumber"/>
            <w:rFonts w:ascii="Kohinoor Devanagari" w:hAnsi="Kohinoor Devanagari" w:cs="Kohinoor Devanagari"/>
            <w:sz w:val="16"/>
            <w:szCs w:val="16"/>
          </w:rPr>
          <w:fldChar w:fldCharType="begin"/>
        </w:r>
        <w:r w:rsidR="002E77A2" w:rsidRPr="00004BD2">
          <w:rPr>
            <w:rStyle w:val="PageNumber"/>
            <w:rFonts w:ascii="Kohinoor Devanagari" w:hAnsi="Kohinoor Devanagari" w:cs="Kohinoor Devanagari"/>
            <w:sz w:val="16"/>
            <w:szCs w:val="16"/>
          </w:rPr>
          <w:instrText xml:space="preserve"> PAGE </w:instrText>
        </w:r>
        <w:r w:rsidR="002E77A2" w:rsidRPr="00004BD2">
          <w:rPr>
            <w:rStyle w:val="PageNumber"/>
            <w:rFonts w:ascii="Kohinoor Devanagari" w:hAnsi="Kohinoor Devanagari" w:cs="Kohinoor Devanagari"/>
            <w:sz w:val="16"/>
            <w:szCs w:val="16"/>
          </w:rPr>
          <w:fldChar w:fldCharType="separate"/>
        </w:r>
        <w:r w:rsidR="002E77A2">
          <w:rPr>
            <w:rStyle w:val="PageNumber"/>
            <w:rFonts w:ascii="Kohinoor Devanagari" w:hAnsi="Kohinoor Devanagari" w:cs="Kohinoor Devanagari"/>
            <w:sz w:val="16"/>
            <w:szCs w:val="16"/>
          </w:rPr>
          <w:t>74</w:t>
        </w:r>
        <w:r w:rsidR="002E77A2" w:rsidRPr="00004BD2">
          <w:rPr>
            <w:rStyle w:val="PageNumber"/>
            <w:rFonts w:ascii="Kohinoor Devanagari" w:hAnsi="Kohinoor Devanagari" w:cs="Kohinoor Devanagari"/>
            <w:sz w:val="16"/>
            <w:szCs w:val="16"/>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11128" w14:textId="39E63BE4" w:rsidR="00254520" w:rsidRPr="00650A65" w:rsidRDefault="00620911" w:rsidP="00A56C3F">
    <w:pPr>
      <w:pStyle w:val="Footer"/>
      <w:rPr>
        <w:rFonts w:ascii="Kohinoor Devanagari" w:hAnsi="Kohinoor Devanagari" w:cs="Kohinoor Devanagari"/>
        <w:sz w:val="16"/>
        <w:szCs w:val="16"/>
      </w:rPr>
    </w:pPr>
    <w:r>
      <w:rPr>
        <w:rFonts w:ascii="Kohinoor Devanagari" w:hAnsi="Kohinoor Devanagari" w:cs="Kohinoor Devanagari"/>
        <w:noProof/>
        <w:color w:val="61BC4D"/>
        <w:sz w:val="16"/>
        <w:szCs w:val="16"/>
      </w:rPr>
      <mc:AlternateContent>
        <mc:Choice Requires="wps">
          <w:drawing>
            <wp:anchor distT="0" distB="0" distL="0" distR="0" simplePos="0" relativeHeight="251663368" behindDoc="0" locked="0" layoutInCell="1" allowOverlap="1" wp14:anchorId="50C20B59" wp14:editId="1373FDA5">
              <wp:simplePos x="635" y="635"/>
              <wp:positionH relativeFrom="page">
                <wp:align>right</wp:align>
              </wp:positionH>
              <wp:positionV relativeFrom="page">
                <wp:align>bottom</wp:align>
              </wp:positionV>
              <wp:extent cx="1170305" cy="370205"/>
              <wp:effectExtent l="0" t="0" r="0" b="0"/>
              <wp:wrapNone/>
              <wp:docPr id="1497331871" name="Text Box 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5DA4CB6F" w14:textId="161D594A" w:rsidR="00620911" w:rsidRPr="00620911" w:rsidRDefault="00620911" w:rsidP="00620911">
                          <w:pPr>
                            <w:spacing w:after="0"/>
                            <w:rPr>
                              <w:rFonts w:ascii="Aptos" w:eastAsia="Aptos" w:hAnsi="Aptos" w:cs="Aptos"/>
                              <w:noProof/>
                              <w:color w:val="000000"/>
                              <w:sz w:val="20"/>
                              <w:szCs w:val="20"/>
                            </w:rPr>
                          </w:pPr>
                          <w:r w:rsidRPr="00620911">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0C20B59" id="_x0000_t202" coordsize="21600,21600" o:spt="202" path="m,l,21600r21600,l21600,xe">
              <v:stroke joinstyle="miter"/>
              <v:path gradientshapeok="t" o:connecttype="rect"/>
            </v:shapetype>
            <v:shape id="Text Box 5" o:spid="_x0000_s1032" type="#_x0000_t202" alt="Official Use Only" style="position:absolute;margin-left:40.95pt;margin-top:0;width:92.15pt;height:29.15pt;z-index:25166336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" filled="f" stroked="f">
              <v:textbox style="mso-fit-shape-to-text:t" inset="0,0,20pt,15pt">
                <w:txbxContent>
                  <w:p w14:paraId="5DA4CB6F" w14:textId="161D594A" w:rsidR="00620911" w:rsidRPr="00620911" w:rsidRDefault="00620911" w:rsidP="00620911">
                    <w:pPr>
                      <w:spacing w:after="0"/>
                      <w:rPr>
                        <w:rFonts w:ascii="Aptos" w:eastAsia="Aptos" w:hAnsi="Aptos" w:cs="Aptos"/>
                        <w:noProof/>
                        <w:color w:val="000000"/>
                        <w:sz w:val="20"/>
                        <w:szCs w:val="20"/>
                      </w:rPr>
                    </w:pPr>
                    <w:r w:rsidRPr="00620911">
                      <w:rPr>
                        <w:rFonts w:ascii="Aptos" w:eastAsia="Aptos" w:hAnsi="Aptos" w:cs="Aptos"/>
                        <w:noProof/>
                        <w:color w:val="000000"/>
                        <w:sz w:val="20"/>
                        <w:szCs w:val="20"/>
                      </w:rPr>
                      <w:t>Official Use Only</w:t>
                    </w:r>
                  </w:p>
                </w:txbxContent>
              </v:textbox>
              <w10:wrap anchorx="page" anchory="page"/>
            </v:shape>
          </w:pict>
        </mc:Fallback>
      </mc:AlternateContent>
    </w:r>
    <w:r w:rsidR="00254520">
      <w:rPr>
        <w:rFonts w:ascii="Kohinoor Devanagari" w:hAnsi="Kohinoor Devanagari" w:cs="Kohinoor Devanagari"/>
        <w:color w:val="61BC4D"/>
        <w:sz w:val="16"/>
        <w:szCs w:val="16"/>
      </w:rPr>
      <w:tab/>
    </w:r>
    <w:r w:rsidR="00254520">
      <w:rPr>
        <w:rFonts w:ascii="Kohinoor Devanagari" w:hAnsi="Kohinoor Devanagari" w:cs="Kohinoor Devanagari"/>
        <w:color w:val="61BC4D"/>
        <w:sz w:val="16"/>
        <w:szCs w:val="16"/>
      </w:rPr>
      <w:tab/>
      <w:t xml:space="preserve">      </w:t>
    </w:r>
    <w:r w:rsidR="00000000">
      <w:rPr>
        <w:sz w:val="22"/>
        <w:szCs w:val="22"/>
      </w:rPr>
    </w:r>
    <w:r w:rsidR="00000000">
      <w:rPr>
        <w:sz w:val="22"/>
        <w:szCs w:val="22"/>
      </w:rPr>
      <w:pict w14:anchorId="77242875">
        <v:group id="_x0000_s1025" style="width:22.1pt;height:7.45pt;mso-position-horizontal-relative:char;mso-position-vertical-relative:line" coordorigin="8013,200" coordsize="442,149">
          <v:shape id="docshape26" o:spid="_x0000_s1026" style="position:absolute;left:8013;top:274;width:442;height:74;visibility:visible;mso-wrap-style:square;v-text-anchor:top" coordsize="44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" path="m333,l,,442,74,333,xe" fillcolor="#61bc4d" stroked="f">
            <v:path arrowok="t" o:connecttype="custom" o:connectlocs="333,275;0,275;442,349;333,275" o:connectangles="0,0,0,0"/>
          </v:shape>
          <v:shape id="docshape27" o:spid="_x0000_s1027" style="position:absolute;left:8013;top:199;width:442;height:75;visibility:visible;mso-wrap-style:square;v-text-anchor:top" coordsize="4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" path="m442,l,75r333,l442,xe" fillcolor="#b8d982" stroked="f">
            <v:path arrowok="t" o:connecttype="custom" o:connectlocs="442,200;0,275;333,275;442,200" o:connectangles="0,0,0,0"/>
          </v:shape>
          <v:shape id="docshape28" o:spid="_x0000_s1028" style="position:absolute;left:8346;top:199;width:109;height:149;visibility:visible;mso-wrap-style:square;v-text-anchor:top" coordsize="109,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" path="m109,l,75r109,74l109,xe" fillcolor="#8dc858" stroked="f">
            <v:path arrowok="t" o:connecttype="custom" o:connectlocs="109,200;0,275;109,349;109,200" o:connectangles="0,0,0,0"/>
          </v:shape>
          <w10:wrap type="none"/>
          <w10:anchorlock/>
        </v:group>
      </w:pict>
    </w:r>
    <w:r w:rsidR="00254520" w:rsidRPr="004F27D7">
      <w:rPr>
        <w:rStyle w:val="PageNumber"/>
        <w:rFonts w:ascii="Kohinoor Devanagari" w:hAnsi="Kohinoor Devanagari" w:cs="Kohinoor Devanagari"/>
        <w:sz w:val="16"/>
        <w:szCs w:val="16"/>
      </w:rPr>
      <w:t xml:space="preserve"> </w:t>
    </w:r>
    <w:sdt>
      <w:sdtPr>
        <w:rPr>
          <w:rStyle w:val="PageNumber"/>
          <w:rFonts w:ascii="Kohinoor Devanagari" w:hAnsi="Kohinoor Devanagari" w:cs="Kohinoor Devanagari"/>
          <w:sz w:val="16"/>
          <w:szCs w:val="16"/>
        </w:rPr>
        <w:id w:val="699820382"/>
        <w:docPartObj>
          <w:docPartGallery w:val="Page Numbers (Bottom of Page)"/>
          <w:docPartUnique/>
        </w:docPartObj>
      </w:sdtPr>
      <w:sdtContent>
        <w:r w:rsidR="00254520" w:rsidRPr="00004BD2">
          <w:rPr>
            <w:rStyle w:val="PageNumber"/>
            <w:rFonts w:ascii="Kohinoor Devanagari" w:hAnsi="Kohinoor Devanagari" w:cs="Kohinoor Devanagari"/>
            <w:sz w:val="16"/>
            <w:szCs w:val="16"/>
          </w:rPr>
          <w:fldChar w:fldCharType="begin"/>
        </w:r>
        <w:r w:rsidR="00254520" w:rsidRPr="00004BD2">
          <w:rPr>
            <w:rStyle w:val="PageNumber"/>
            <w:rFonts w:ascii="Kohinoor Devanagari" w:hAnsi="Kohinoor Devanagari" w:cs="Kohinoor Devanagari"/>
            <w:sz w:val="16"/>
            <w:szCs w:val="16"/>
          </w:rPr>
          <w:instrText xml:space="preserve"> PAGE </w:instrText>
        </w:r>
        <w:r w:rsidR="00254520" w:rsidRPr="00004BD2">
          <w:rPr>
            <w:rStyle w:val="PageNumber"/>
            <w:rFonts w:ascii="Kohinoor Devanagari" w:hAnsi="Kohinoor Devanagari" w:cs="Kohinoor Devanagari"/>
            <w:sz w:val="16"/>
            <w:szCs w:val="16"/>
          </w:rPr>
          <w:fldChar w:fldCharType="separate"/>
        </w:r>
        <w:r w:rsidR="00254520">
          <w:rPr>
            <w:rStyle w:val="PageNumber"/>
            <w:rFonts w:ascii="Kohinoor Devanagari" w:hAnsi="Kohinoor Devanagari" w:cs="Kohinoor Devanagari"/>
            <w:sz w:val="16"/>
            <w:szCs w:val="16"/>
          </w:rPr>
          <w:t>136</w:t>
        </w:r>
        <w:r w:rsidR="00254520" w:rsidRPr="00004BD2">
          <w:rPr>
            <w:rStyle w:val="PageNumber"/>
            <w:rFonts w:ascii="Kohinoor Devanagari" w:hAnsi="Kohinoor Devanagari" w:cs="Kohinoor Devanagari"/>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B76AE" w14:textId="77777777" w:rsidR="006F6314" w:rsidRDefault="006F6314" w:rsidP="00774C03">
      <w:pPr>
        <w:spacing w:after="0" w:line="240" w:lineRule="auto"/>
      </w:pPr>
      <w:r>
        <w:separator/>
      </w:r>
    </w:p>
  </w:footnote>
  <w:footnote w:type="continuationSeparator" w:id="0">
    <w:p w14:paraId="1331BE8A" w14:textId="77777777" w:rsidR="006F6314" w:rsidRDefault="006F6314" w:rsidP="00774C03">
      <w:pPr>
        <w:spacing w:after="0" w:line="240" w:lineRule="auto"/>
      </w:pPr>
      <w:r>
        <w:continuationSeparator/>
      </w:r>
    </w:p>
  </w:footnote>
  <w:footnote w:type="continuationNotice" w:id="1">
    <w:p w14:paraId="7A23A4A4" w14:textId="77777777" w:rsidR="006F6314" w:rsidRDefault="006F6314">
      <w:pPr>
        <w:spacing w:after="0" w:line="240" w:lineRule="auto"/>
      </w:pPr>
    </w:p>
  </w:footnote>
  <w:footnote w:id="2">
    <w:p w14:paraId="4372F5D4" w14:textId="77777777" w:rsidR="00A767A6" w:rsidRPr="00774C03" w:rsidRDefault="00A767A6" w:rsidP="00A767A6">
      <w:pPr>
        <w:pStyle w:val="FootnoteText"/>
        <w:rPr>
          <w:lang w:val="fr-FR"/>
        </w:rPr>
      </w:pPr>
      <w:r>
        <w:rPr>
          <w:rStyle w:val="FootnoteReference"/>
        </w:rPr>
        <w:footnoteRef/>
      </w:r>
      <w:r w:rsidRPr="00774C03">
        <w:rPr>
          <w:lang w:val="fr-FR"/>
        </w:rPr>
        <w:t xml:space="preserve"> </w:t>
      </w:r>
      <w:r>
        <w:rPr>
          <w:lang w:val="fr-FR"/>
        </w:rPr>
        <w:t xml:space="preserve">Source : </w:t>
      </w:r>
      <w:hyperlink r:id="rId1" w:history="1">
        <w:r w:rsidRPr="009C0D32">
          <w:rPr>
            <w:rStyle w:val="Hyperlink"/>
            <w:lang w:val="fr-FR"/>
          </w:rPr>
          <w:t>https://www.iraqoilreport.com/news/iraqs-highest-court-strikes-down-inoc-45151/</w:t>
        </w:r>
      </w:hyperlink>
      <w:r>
        <w:rPr>
          <w:lang w:val="fr-FR"/>
        </w:rPr>
        <w:t xml:space="preserve"> </w:t>
      </w:r>
    </w:p>
  </w:footnote>
  <w:footnote w:id="3">
    <w:p w14:paraId="798687B5" w14:textId="3A59B11C" w:rsidR="003918EB" w:rsidRPr="005D3637" w:rsidRDefault="003918EB">
      <w:pPr>
        <w:pStyle w:val="FootnoteText"/>
        <w:rPr>
          <w:sz w:val="16"/>
          <w:szCs w:val="16"/>
        </w:rPr>
      </w:pPr>
      <w:r w:rsidRPr="005D3637">
        <w:rPr>
          <w:rStyle w:val="FootnoteReference"/>
          <w:sz w:val="16"/>
          <w:szCs w:val="16"/>
        </w:rPr>
        <w:footnoteRef/>
      </w:r>
      <w:r w:rsidRPr="005D3637">
        <w:rPr>
          <w:sz w:val="16"/>
          <w:szCs w:val="16"/>
        </w:rPr>
        <w:t xml:space="preserve"> Source : </w:t>
      </w:r>
      <w:r w:rsidR="00EE375D" w:rsidRPr="005D3637">
        <w:rPr>
          <w:sz w:val="16"/>
          <w:szCs w:val="16"/>
        </w:rPr>
        <w:t>Digital Landscape Assessment</w:t>
      </w:r>
      <w:r w:rsidR="005D3637" w:rsidRPr="005D3637">
        <w:rPr>
          <w:sz w:val="16"/>
          <w:szCs w:val="16"/>
        </w:rPr>
        <w:t xml:space="preserve"> (UNDP), 2023</w:t>
      </w:r>
      <w:r w:rsidR="005D3637">
        <w:rPr>
          <w:sz w:val="16"/>
          <w:szCs w:val="16"/>
        </w:rPr>
        <w:t xml:space="preserve"> (</w:t>
      </w:r>
      <w:hyperlink r:id="rId2" w:history="1">
        <w:r w:rsidR="005D3637" w:rsidRPr="00277A19">
          <w:rPr>
            <w:rStyle w:val="Hyperlink"/>
            <w:sz w:val="16"/>
            <w:szCs w:val="16"/>
          </w:rPr>
          <w:t>link</w:t>
        </w:r>
      </w:hyperlink>
      <w:r w:rsidR="005D3637">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C51F1" w14:textId="56A46AAB" w:rsidR="002E77A2" w:rsidRPr="004218C6" w:rsidRDefault="002E77A2" w:rsidP="00BF41E6"/>
  <w:p w14:paraId="6A007326" w14:textId="77777777" w:rsidR="002E77A2" w:rsidRPr="004218C6" w:rsidRDefault="002E77A2" w:rsidP="00BF41E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21126" w14:textId="3182CF9D" w:rsidR="00831404" w:rsidRDefault="008314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FDF98" w14:textId="02637DD9" w:rsidR="00A51752" w:rsidRPr="00A51752" w:rsidRDefault="00A51752" w:rsidP="00A51752">
    <w:pPr>
      <w:spacing w:before="120" w:after="120" w:line="240" w:lineRule="auto"/>
      <w:jc w:val="right"/>
      <w:rPr>
        <w:rFonts w:ascii="Trebuchet MS" w:hAnsi="Trebuchet MS"/>
        <w:i/>
        <w:iCs/>
        <w:color w:val="747474" w:themeColor="background2" w:themeShade="80"/>
        <w:sz w:val="16"/>
        <w:szCs w:val="16"/>
      </w:rPr>
    </w:pPr>
    <w:r w:rsidRPr="00A51752">
      <w:rPr>
        <w:rFonts w:ascii="Trebuchet MS" w:hAnsi="Trebuchet MS"/>
        <w:i/>
        <w:iCs/>
        <w:color w:val="747474" w:themeColor="background2" w:themeShade="80"/>
        <w:sz w:val="16"/>
        <w:szCs w:val="16"/>
      </w:rPr>
      <w:t>Assessment of Systematic Disclosure Practices and Policy Recommendations</w:t>
    </w:r>
  </w:p>
  <w:p w14:paraId="6EBF554E" w14:textId="78419BBD" w:rsidR="002E77A2" w:rsidRPr="00A51752" w:rsidRDefault="002E77A2" w:rsidP="003770B9">
    <w:pPr>
      <w:pStyle w:val="Header"/>
      <w:jc w:val="right"/>
      <w:rPr>
        <w:rFonts w:ascii="Trebuchet MS" w:hAnsi="Trebuchet MS"/>
        <w:i/>
        <w:iCs/>
        <w:color w:val="747474" w:themeColor="background2" w:themeShade="80"/>
        <w:sz w:val="16"/>
        <w:szCs w:val="16"/>
      </w:rPr>
    </w:pPr>
  </w:p>
  <w:p w14:paraId="3D3874EB" w14:textId="77777777" w:rsidR="002E77A2" w:rsidRPr="00A51752" w:rsidRDefault="002E77A2" w:rsidP="003770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118F0" w14:textId="7C9D16DB" w:rsidR="00831404" w:rsidRDefault="0083140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37513" w14:textId="49726BE5" w:rsidR="00831404" w:rsidRDefault="0083140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BB6A0" w14:textId="45A21A5D" w:rsidR="00831404" w:rsidRDefault="0083140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13FB7" w14:textId="3DDFB012" w:rsidR="00831404" w:rsidRDefault="008314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1A02"/>
    <w:multiLevelType w:val="hybridMultilevel"/>
    <w:tmpl w:val="73FAB6B6"/>
    <w:lvl w:ilvl="0" w:tplc="FFFFFFFF">
      <w:start w:val="1"/>
      <w:numFmt w:val="lowerRoman"/>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1740051"/>
    <w:multiLevelType w:val="multilevel"/>
    <w:tmpl w:val="A0B49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356A6C"/>
    <w:multiLevelType w:val="multilevel"/>
    <w:tmpl w:val="EF2C1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015971"/>
    <w:multiLevelType w:val="multilevel"/>
    <w:tmpl w:val="02DE5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166779"/>
    <w:multiLevelType w:val="multilevel"/>
    <w:tmpl w:val="A42A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FF5F2B"/>
    <w:multiLevelType w:val="multilevel"/>
    <w:tmpl w:val="6E7C0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F96F75"/>
    <w:multiLevelType w:val="multilevel"/>
    <w:tmpl w:val="381E2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4969BD"/>
    <w:multiLevelType w:val="multilevel"/>
    <w:tmpl w:val="7310A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8E12EE"/>
    <w:multiLevelType w:val="multilevel"/>
    <w:tmpl w:val="B3624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3514CE"/>
    <w:multiLevelType w:val="multilevel"/>
    <w:tmpl w:val="C3D2DB6C"/>
    <w:lvl w:ilvl="0">
      <w:start w:val="3"/>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B9634FA"/>
    <w:multiLevelType w:val="hybridMultilevel"/>
    <w:tmpl w:val="392A91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BB30662"/>
    <w:multiLevelType w:val="hybridMultilevel"/>
    <w:tmpl w:val="B380D52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CE30DCF"/>
    <w:multiLevelType w:val="multilevel"/>
    <w:tmpl w:val="F4D43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7D0227"/>
    <w:multiLevelType w:val="multilevel"/>
    <w:tmpl w:val="81309DD8"/>
    <w:lvl w:ilvl="0">
      <w:start w:val="7"/>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330256"/>
    <w:multiLevelType w:val="multilevel"/>
    <w:tmpl w:val="74AEC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F90A7F"/>
    <w:multiLevelType w:val="multilevel"/>
    <w:tmpl w:val="DCD43C48"/>
    <w:lvl w:ilvl="0">
      <w:start w:val="4"/>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3BE0600"/>
    <w:multiLevelType w:val="multilevel"/>
    <w:tmpl w:val="B854DF9A"/>
    <w:lvl w:ilvl="0">
      <w:start w:val="5"/>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4FF3717"/>
    <w:multiLevelType w:val="multilevel"/>
    <w:tmpl w:val="66483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8A92F15"/>
    <w:multiLevelType w:val="multilevel"/>
    <w:tmpl w:val="0ABC2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D8606A"/>
    <w:multiLevelType w:val="multilevel"/>
    <w:tmpl w:val="150A7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4B2B33"/>
    <w:multiLevelType w:val="multilevel"/>
    <w:tmpl w:val="FFBA1CA0"/>
    <w:lvl w:ilvl="0">
      <w:start w:val="6"/>
      <w:numFmt w:val="decimal"/>
      <w:lvlText w:val="%1."/>
      <w:lvlJc w:val="left"/>
      <w:pPr>
        <w:ind w:left="380" w:hanging="3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5C0FEE"/>
    <w:multiLevelType w:val="multilevel"/>
    <w:tmpl w:val="A5A2B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DB026F8"/>
    <w:multiLevelType w:val="multilevel"/>
    <w:tmpl w:val="5A829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DC25D70"/>
    <w:multiLevelType w:val="hybridMultilevel"/>
    <w:tmpl w:val="73FAB6B6"/>
    <w:lvl w:ilvl="0" w:tplc="FFFFFFFF">
      <w:start w:val="1"/>
      <w:numFmt w:val="lowerRoman"/>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1E7B1F0C"/>
    <w:multiLevelType w:val="multilevel"/>
    <w:tmpl w:val="69E86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EE745F6"/>
    <w:multiLevelType w:val="multilevel"/>
    <w:tmpl w:val="88709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EE85FBA"/>
    <w:multiLevelType w:val="hybridMultilevel"/>
    <w:tmpl w:val="77D483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20022A72"/>
    <w:multiLevelType w:val="hybridMultilevel"/>
    <w:tmpl w:val="73FAB6B6"/>
    <w:lvl w:ilvl="0" w:tplc="182A72CA">
      <w:start w:val="1"/>
      <w:numFmt w:val="lowerRoman"/>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20CA2EA5"/>
    <w:multiLevelType w:val="multilevel"/>
    <w:tmpl w:val="5AE43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0D54213"/>
    <w:multiLevelType w:val="multilevel"/>
    <w:tmpl w:val="13A4D648"/>
    <w:lvl w:ilvl="0">
      <w:start w:val="6"/>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1410345"/>
    <w:multiLevelType w:val="multilevel"/>
    <w:tmpl w:val="48E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46C73C1"/>
    <w:multiLevelType w:val="hybridMultilevel"/>
    <w:tmpl w:val="73FAB6B6"/>
    <w:lvl w:ilvl="0" w:tplc="FFFFFFFF">
      <w:start w:val="1"/>
      <w:numFmt w:val="lowerRoman"/>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249475D7"/>
    <w:multiLevelType w:val="multilevel"/>
    <w:tmpl w:val="F0965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4976390"/>
    <w:multiLevelType w:val="hybridMultilevel"/>
    <w:tmpl w:val="BB344298"/>
    <w:lvl w:ilvl="0" w:tplc="D32256BE">
      <w:start w:val="1"/>
      <w:numFmt w:val="bullet"/>
      <w:lvlText w:val="-"/>
      <w:lvlJc w:val="left"/>
      <w:pPr>
        <w:ind w:left="720" w:hanging="360"/>
      </w:pPr>
      <w:rPr>
        <w:rFonts w:ascii="Walbaum Text" w:hAnsi="Walbaum Tex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25450C35"/>
    <w:multiLevelType w:val="multilevel"/>
    <w:tmpl w:val="09FA0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9F14D7D"/>
    <w:multiLevelType w:val="hybridMultilevel"/>
    <w:tmpl w:val="07FE0C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2A8C7DAA"/>
    <w:multiLevelType w:val="multilevel"/>
    <w:tmpl w:val="4C663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B12031B"/>
    <w:multiLevelType w:val="multilevel"/>
    <w:tmpl w:val="958A7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D1D682C"/>
    <w:multiLevelType w:val="multilevel"/>
    <w:tmpl w:val="6D608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DD80068"/>
    <w:multiLevelType w:val="multilevel"/>
    <w:tmpl w:val="74041E5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2E6B7B03"/>
    <w:multiLevelType w:val="multilevel"/>
    <w:tmpl w:val="0AF25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F5913CC"/>
    <w:multiLevelType w:val="multilevel"/>
    <w:tmpl w:val="5ABEB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FF519A8"/>
    <w:multiLevelType w:val="multilevel"/>
    <w:tmpl w:val="1B0CE7C2"/>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01E39E1"/>
    <w:multiLevelType w:val="multilevel"/>
    <w:tmpl w:val="74704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0736D67"/>
    <w:multiLevelType w:val="multilevel"/>
    <w:tmpl w:val="BB0AE1E4"/>
    <w:lvl w:ilvl="0">
      <w:start w:val="4"/>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0A431A6"/>
    <w:multiLevelType w:val="hybridMultilevel"/>
    <w:tmpl w:val="B4A0DBD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33A0433A"/>
    <w:multiLevelType w:val="multilevel"/>
    <w:tmpl w:val="8C24D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4317AC6"/>
    <w:multiLevelType w:val="multilevel"/>
    <w:tmpl w:val="AE184388"/>
    <w:lvl w:ilvl="0">
      <w:start w:val="5"/>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67D1C40"/>
    <w:multiLevelType w:val="hybridMultilevel"/>
    <w:tmpl w:val="D7D233D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36807D26"/>
    <w:multiLevelType w:val="multilevel"/>
    <w:tmpl w:val="E3EC6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78951D7"/>
    <w:multiLevelType w:val="multilevel"/>
    <w:tmpl w:val="E79A9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98C74BD"/>
    <w:multiLevelType w:val="multilevel"/>
    <w:tmpl w:val="9580C5F0"/>
    <w:lvl w:ilvl="0">
      <w:start w:val="7"/>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9C21689"/>
    <w:multiLevelType w:val="multilevel"/>
    <w:tmpl w:val="88409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AEA618C"/>
    <w:multiLevelType w:val="multilevel"/>
    <w:tmpl w:val="1B9EB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B8652BC"/>
    <w:multiLevelType w:val="multilevel"/>
    <w:tmpl w:val="7960E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BF73BF4"/>
    <w:multiLevelType w:val="multilevel"/>
    <w:tmpl w:val="6CD6B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C541C33"/>
    <w:multiLevelType w:val="multilevel"/>
    <w:tmpl w:val="1480C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D1D50B6"/>
    <w:multiLevelType w:val="multilevel"/>
    <w:tmpl w:val="4ED6C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E1D1D3E"/>
    <w:multiLevelType w:val="hybridMultilevel"/>
    <w:tmpl w:val="73FAB6B6"/>
    <w:lvl w:ilvl="0" w:tplc="FFFFFFFF">
      <w:start w:val="1"/>
      <w:numFmt w:val="lowerRoman"/>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9" w15:restartNumberingAfterBreak="0">
    <w:nsid w:val="3ED35C59"/>
    <w:multiLevelType w:val="multilevel"/>
    <w:tmpl w:val="00680166"/>
    <w:lvl w:ilvl="0">
      <w:start w:val="2"/>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4C87E05"/>
    <w:multiLevelType w:val="multilevel"/>
    <w:tmpl w:val="BBA2B92E"/>
    <w:lvl w:ilvl="0">
      <w:start w:val="8"/>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4EC610C"/>
    <w:multiLevelType w:val="multilevel"/>
    <w:tmpl w:val="8CF63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737440D"/>
    <w:multiLevelType w:val="multilevel"/>
    <w:tmpl w:val="F2C86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7F41FCB"/>
    <w:multiLevelType w:val="multilevel"/>
    <w:tmpl w:val="C0E6C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8F77ED2"/>
    <w:multiLevelType w:val="multilevel"/>
    <w:tmpl w:val="3954B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BA119D4"/>
    <w:multiLevelType w:val="multilevel"/>
    <w:tmpl w:val="0CF09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E777DE3"/>
    <w:multiLevelType w:val="multilevel"/>
    <w:tmpl w:val="744C2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ED75B76"/>
    <w:multiLevelType w:val="multilevel"/>
    <w:tmpl w:val="FD6CC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EE8561F"/>
    <w:multiLevelType w:val="multilevel"/>
    <w:tmpl w:val="79A42216"/>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F135262"/>
    <w:multiLevelType w:val="multilevel"/>
    <w:tmpl w:val="73C49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4E47E23"/>
    <w:multiLevelType w:val="multilevel"/>
    <w:tmpl w:val="C702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6B515B7"/>
    <w:multiLevelType w:val="multilevel"/>
    <w:tmpl w:val="9BF6A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94741FE"/>
    <w:multiLevelType w:val="multilevel"/>
    <w:tmpl w:val="01A6B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B313BBB"/>
    <w:multiLevelType w:val="multilevel"/>
    <w:tmpl w:val="5CDA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B7D19D1"/>
    <w:multiLevelType w:val="multilevel"/>
    <w:tmpl w:val="25246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BE06BD4"/>
    <w:multiLevelType w:val="multilevel"/>
    <w:tmpl w:val="099012BE"/>
    <w:lvl w:ilvl="0">
      <w:start w:val="5"/>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D4161E4"/>
    <w:multiLevelType w:val="multilevel"/>
    <w:tmpl w:val="E0E8C1C4"/>
    <w:lvl w:ilvl="0">
      <w:start w:val="1"/>
      <w:numFmt w:val="decimal"/>
      <w:lvlText w:val="%1."/>
      <w:lvlJc w:val="left"/>
      <w:pPr>
        <w:tabs>
          <w:tab w:val="num" w:pos="720"/>
        </w:tabs>
        <w:ind w:left="720" w:hanging="360"/>
      </w:pPr>
    </w:lvl>
    <w:lvl w:ilvl="1">
      <w:start w:val="4"/>
      <w:numFmt w:val="bullet"/>
      <w:lvlText w:val="-"/>
      <w:lvlJc w:val="left"/>
      <w:pPr>
        <w:ind w:left="1440" w:hanging="360"/>
      </w:pPr>
      <w:rPr>
        <w:rFonts w:ascii="Calibri" w:eastAsia="MS Mincho"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DF25DE5"/>
    <w:multiLevelType w:val="multilevel"/>
    <w:tmpl w:val="D960BCC0"/>
    <w:lvl w:ilvl="0">
      <w:start w:val="5"/>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F871904"/>
    <w:multiLevelType w:val="multilevel"/>
    <w:tmpl w:val="DA327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057263F"/>
    <w:multiLevelType w:val="multilevel"/>
    <w:tmpl w:val="E4D4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2B92FDD"/>
    <w:multiLevelType w:val="hybridMultilevel"/>
    <w:tmpl w:val="CBA2B8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15:restartNumberingAfterBreak="0">
    <w:nsid w:val="64525758"/>
    <w:multiLevelType w:val="multilevel"/>
    <w:tmpl w:val="1C0A0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45311A1"/>
    <w:multiLevelType w:val="multilevel"/>
    <w:tmpl w:val="F132C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52507B3"/>
    <w:multiLevelType w:val="multilevel"/>
    <w:tmpl w:val="1C0E879E"/>
    <w:lvl w:ilvl="0">
      <w:start w:val="6"/>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63E34DE"/>
    <w:multiLevelType w:val="multilevel"/>
    <w:tmpl w:val="72E89D88"/>
    <w:lvl w:ilvl="0">
      <w:start w:val="1"/>
      <w:numFmt w:val="decimal"/>
      <w:lvlText w:val="%1."/>
      <w:lvlJc w:val="left"/>
      <w:pPr>
        <w:tabs>
          <w:tab w:val="num" w:pos="720"/>
        </w:tabs>
        <w:ind w:left="720" w:hanging="360"/>
      </w:pPr>
    </w:lvl>
    <w:lvl w:ilvl="1">
      <w:start w:val="4"/>
      <w:numFmt w:val="bullet"/>
      <w:lvlText w:val="-"/>
      <w:lvlJc w:val="left"/>
      <w:pPr>
        <w:ind w:left="1440" w:hanging="360"/>
      </w:pPr>
      <w:rPr>
        <w:rFonts w:ascii="Calibri" w:eastAsia="MS Mincho"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76437BB"/>
    <w:multiLevelType w:val="hybridMultilevel"/>
    <w:tmpl w:val="73FAB6B6"/>
    <w:lvl w:ilvl="0" w:tplc="FFFFFFFF">
      <w:start w:val="1"/>
      <w:numFmt w:val="lowerRoman"/>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6" w15:restartNumberingAfterBreak="0">
    <w:nsid w:val="67CF2CB6"/>
    <w:multiLevelType w:val="multilevel"/>
    <w:tmpl w:val="14D0D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9B6260E"/>
    <w:multiLevelType w:val="multilevel"/>
    <w:tmpl w:val="34D8A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2DD5027"/>
    <w:multiLevelType w:val="hybridMultilevel"/>
    <w:tmpl w:val="7AC2C2F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15:restartNumberingAfterBreak="0">
    <w:nsid w:val="73DB68D5"/>
    <w:multiLevelType w:val="multilevel"/>
    <w:tmpl w:val="2558226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40824D8"/>
    <w:multiLevelType w:val="multilevel"/>
    <w:tmpl w:val="7BEE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4693364"/>
    <w:multiLevelType w:val="multilevel"/>
    <w:tmpl w:val="731E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6D639B6"/>
    <w:multiLevelType w:val="hybridMultilevel"/>
    <w:tmpl w:val="8D2404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3" w15:restartNumberingAfterBreak="0">
    <w:nsid w:val="76E571F7"/>
    <w:multiLevelType w:val="hybridMultilevel"/>
    <w:tmpl w:val="14AEA06A"/>
    <w:lvl w:ilvl="0" w:tplc="455C2F8A">
      <w:start w:val="1"/>
      <w:numFmt w:val="low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4" w15:restartNumberingAfterBreak="0">
    <w:nsid w:val="775A070F"/>
    <w:multiLevelType w:val="hybridMultilevel"/>
    <w:tmpl w:val="FAD2D7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5" w15:restartNumberingAfterBreak="0">
    <w:nsid w:val="781A48AA"/>
    <w:multiLevelType w:val="multilevel"/>
    <w:tmpl w:val="DA3C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9155C6D"/>
    <w:multiLevelType w:val="multilevel"/>
    <w:tmpl w:val="080C02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7" w15:restartNumberingAfterBreak="0">
    <w:nsid w:val="79284E56"/>
    <w:multiLevelType w:val="multilevel"/>
    <w:tmpl w:val="1090E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9E64B8F"/>
    <w:multiLevelType w:val="hybridMultilevel"/>
    <w:tmpl w:val="14FC8A92"/>
    <w:lvl w:ilvl="0" w:tplc="182A72C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9" w15:restartNumberingAfterBreak="0">
    <w:nsid w:val="7A1E1D7F"/>
    <w:multiLevelType w:val="multilevel"/>
    <w:tmpl w:val="8A600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B5A0D84"/>
    <w:multiLevelType w:val="multilevel"/>
    <w:tmpl w:val="40625ADA"/>
    <w:lvl w:ilvl="0">
      <w:start w:val="4"/>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C39635C"/>
    <w:multiLevelType w:val="hybridMultilevel"/>
    <w:tmpl w:val="35BE25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2" w15:restartNumberingAfterBreak="0">
    <w:nsid w:val="7DAF7B92"/>
    <w:multiLevelType w:val="multilevel"/>
    <w:tmpl w:val="C7A8E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DB30F57"/>
    <w:multiLevelType w:val="multilevel"/>
    <w:tmpl w:val="596E5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EA970B9"/>
    <w:multiLevelType w:val="multilevel"/>
    <w:tmpl w:val="87067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F4F54F7"/>
    <w:multiLevelType w:val="hybridMultilevel"/>
    <w:tmpl w:val="73FAB6B6"/>
    <w:lvl w:ilvl="0" w:tplc="FFFFFFFF">
      <w:start w:val="1"/>
      <w:numFmt w:val="lowerRoman"/>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731269224">
    <w:abstractNumId w:val="65"/>
  </w:num>
  <w:num w:numId="2" w16cid:durableId="1907567534">
    <w:abstractNumId w:val="64"/>
  </w:num>
  <w:num w:numId="3" w16cid:durableId="304890500">
    <w:abstractNumId w:val="71"/>
  </w:num>
  <w:num w:numId="4" w16cid:durableId="1093740804">
    <w:abstractNumId w:val="104"/>
  </w:num>
  <w:num w:numId="5" w16cid:durableId="829903796">
    <w:abstractNumId w:val="52"/>
  </w:num>
  <w:num w:numId="6" w16cid:durableId="10647864">
    <w:abstractNumId w:val="53"/>
  </w:num>
  <w:num w:numId="7" w16cid:durableId="1076710927">
    <w:abstractNumId w:val="80"/>
  </w:num>
  <w:num w:numId="8" w16cid:durableId="547646957">
    <w:abstractNumId w:val="11"/>
  </w:num>
  <w:num w:numId="9" w16cid:durableId="1783575849">
    <w:abstractNumId w:val="48"/>
  </w:num>
  <w:num w:numId="10" w16cid:durableId="896281245">
    <w:abstractNumId w:val="32"/>
  </w:num>
  <w:num w:numId="11" w16cid:durableId="45762143">
    <w:abstractNumId w:val="92"/>
  </w:num>
  <w:num w:numId="12" w16cid:durableId="1760178772">
    <w:abstractNumId w:val="6"/>
  </w:num>
  <w:num w:numId="13" w16cid:durableId="1210993396">
    <w:abstractNumId w:val="57"/>
  </w:num>
  <w:num w:numId="14" w16cid:durableId="470558027">
    <w:abstractNumId w:val="42"/>
  </w:num>
  <w:num w:numId="15" w16cid:durableId="50230335">
    <w:abstractNumId w:val="17"/>
  </w:num>
  <w:num w:numId="16" w16cid:durableId="1200627284">
    <w:abstractNumId w:val="45"/>
  </w:num>
  <w:num w:numId="17" w16cid:durableId="1893151929">
    <w:abstractNumId w:val="103"/>
  </w:num>
  <w:num w:numId="18" w16cid:durableId="1769812102">
    <w:abstractNumId w:val="67"/>
  </w:num>
  <w:num w:numId="19" w16cid:durableId="2093693428">
    <w:abstractNumId w:val="88"/>
  </w:num>
  <w:num w:numId="20" w16cid:durableId="1838303216">
    <w:abstractNumId w:val="21"/>
  </w:num>
  <w:num w:numId="21" w16cid:durableId="1215969700">
    <w:abstractNumId w:val="34"/>
  </w:num>
  <w:num w:numId="22" w16cid:durableId="1200777692">
    <w:abstractNumId w:val="8"/>
  </w:num>
  <w:num w:numId="23" w16cid:durableId="21906880">
    <w:abstractNumId w:val="98"/>
  </w:num>
  <w:num w:numId="24" w16cid:durableId="1396316072">
    <w:abstractNumId w:val="4"/>
  </w:num>
  <w:num w:numId="25" w16cid:durableId="1055738902">
    <w:abstractNumId w:val="18"/>
  </w:num>
  <w:num w:numId="26" w16cid:durableId="1076584837">
    <w:abstractNumId w:val="14"/>
  </w:num>
  <w:num w:numId="27" w16cid:durableId="1232037426">
    <w:abstractNumId w:val="79"/>
  </w:num>
  <w:num w:numId="28" w16cid:durableId="183716982">
    <w:abstractNumId w:val="102"/>
  </w:num>
  <w:num w:numId="29" w16cid:durableId="1330594210">
    <w:abstractNumId w:val="70"/>
  </w:num>
  <w:num w:numId="30" w16cid:durableId="2063938613">
    <w:abstractNumId w:val="96"/>
  </w:num>
  <w:num w:numId="31" w16cid:durableId="445196545">
    <w:abstractNumId w:val="39"/>
  </w:num>
  <w:num w:numId="32" w16cid:durableId="59909797">
    <w:abstractNumId w:val="27"/>
  </w:num>
  <w:num w:numId="33" w16cid:durableId="1266501769">
    <w:abstractNumId w:val="85"/>
  </w:num>
  <w:num w:numId="34" w16cid:durableId="2099134105">
    <w:abstractNumId w:val="31"/>
  </w:num>
  <w:num w:numId="35" w16cid:durableId="455607365">
    <w:abstractNumId w:val="58"/>
  </w:num>
  <w:num w:numId="36" w16cid:durableId="1483110713">
    <w:abstractNumId w:val="23"/>
  </w:num>
  <w:num w:numId="37" w16cid:durableId="1691177320">
    <w:abstractNumId w:val="0"/>
  </w:num>
  <w:num w:numId="38" w16cid:durableId="1247231522">
    <w:abstractNumId w:val="105"/>
  </w:num>
  <w:num w:numId="39" w16cid:durableId="977491790">
    <w:abstractNumId w:val="26"/>
  </w:num>
  <w:num w:numId="40" w16cid:durableId="176163828">
    <w:abstractNumId w:val="89"/>
  </w:num>
  <w:num w:numId="41" w16cid:durableId="940992967">
    <w:abstractNumId w:val="19"/>
  </w:num>
  <w:num w:numId="42" w16cid:durableId="782069968">
    <w:abstractNumId w:val="78"/>
  </w:num>
  <w:num w:numId="43" w16cid:durableId="478504004">
    <w:abstractNumId w:val="49"/>
  </w:num>
  <w:num w:numId="44" w16cid:durableId="567345402">
    <w:abstractNumId w:val="69"/>
  </w:num>
  <w:num w:numId="45" w16cid:durableId="597758811">
    <w:abstractNumId w:val="87"/>
  </w:num>
  <w:num w:numId="46" w16cid:durableId="1526747390">
    <w:abstractNumId w:val="1"/>
  </w:num>
  <w:num w:numId="47" w16cid:durableId="191380472">
    <w:abstractNumId w:val="41"/>
  </w:num>
  <w:num w:numId="48" w16cid:durableId="910575463">
    <w:abstractNumId w:val="43"/>
  </w:num>
  <w:num w:numId="49" w16cid:durableId="630550027">
    <w:abstractNumId w:val="76"/>
  </w:num>
  <w:num w:numId="50" w16cid:durableId="1850827233">
    <w:abstractNumId w:val="84"/>
  </w:num>
  <w:num w:numId="51" w16cid:durableId="808204424">
    <w:abstractNumId w:val="30"/>
  </w:num>
  <w:num w:numId="52" w16cid:durableId="1390496409">
    <w:abstractNumId w:val="95"/>
  </w:num>
  <w:num w:numId="53" w16cid:durableId="2105300097">
    <w:abstractNumId w:val="74"/>
  </w:num>
  <w:num w:numId="54" w16cid:durableId="878929235">
    <w:abstractNumId w:val="28"/>
  </w:num>
  <w:num w:numId="55" w16cid:durableId="973869481">
    <w:abstractNumId w:val="73"/>
  </w:num>
  <w:num w:numId="56" w16cid:durableId="1429425169">
    <w:abstractNumId w:val="25"/>
  </w:num>
  <w:num w:numId="57" w16cid:durableId="1104690684">
    <w:abstractNumId w:val="3"/>
  </w:num>
  <w:num w:numId="58" w16cid:durableId="1854607863">
    <w:abstractNumId w:val="86"/>
  </w:num>
  <w:num w:numId="59" w16cid:durableId="1716081557">
    <w:abstractNumId w:val="62"/>
  </w:num>
  <w:num w:numId="60" w16cid:durableId="844134183">
    <w:abstractNumId w:val="54"/>
  </w:num>
  <w:num w:numId="61" w16cid:durableId="1090390735">
    <w:abstractNumId w:val="91"/>
  </w:num>
  <w:num w:numId="62" w16cid:durableId="1092091967">
    <w:abstractNumId w:val="5"/>
  </w:num>
  <w:num w:numId="63" w16cid:durableId="307709414">
    <w:abstractNumId w:val="46"/>
  </w:num>
  <w:num w:numId="64" w16cid:durableId="1722440550">
    <w:abstractNumId w:val="97"/>
  </w:num>
  <w:num w:numId="65" w16cid:durableId="1917589122">
    <w:abstractNumId w:val="7"/>
  </w:num>
  <w:num w:numId="66" w16cid:durableId="621375770">
    <w:abstractNumId w:val="72"/>
  </w:num>
  <w:num w:numId="67" w16cid:durableId="481851804">
    <w:abstractNumId w:val="55"/>
  </w:num>
  <w:num w:numId="68" w16cid:durableId="1267620536">
    <w:abstractNumId w:val="36"/>
  </w:num>
  <w:num w:numId="69" w16cid:durableId="1388532339">
    <w:abstractNumId w:val="24"/>
  </w:num>
  <w:num w:numId="70" w16cid:durableId="1824347880">
    <w:abstractNumId w:val="82"/>
  </w:num>
  <w:num w:numId="71" w16cid:durableId="879785652">
    <w:abstractNumId w:val="90"/>
  </w:num>
  <w:num w:numId="72" w16cid:durableId="480581977">
    <w:abstractNumId w:val="56"/>
  </w:num>
  <w:num w:numId="73" w16cid:durableId="422529240">
    <w:abstractNumId w:val="68"/>
  </w:num>
  <w:num w:numId="74" w16cid:durableId="2095659047">
    <w:abstractNumId w:val="59"/>
  </w:num>
  <w:num w:numId="75" w16cid:durableId="496579215">
    <w:abstractNumId w:val="9"/>
  </w:num>
  <w:num w:numId="76" w16cid:durableId="1689137609">
    <w:abstractNumId w:val="77"/>
  </w:num>
  <w:num w:numId="77" w16cid:durableId="783306767">
    <w:abstractNumId w:val="83"/>
  </w:num>
  <w:num w:numId="78" w16cid:durableId="450710557">
    <w:abstractNumId w:val="51"/>
  </w:num>
  <w:num w:numId="79" w16cid:durableId="1744792891">
    <w:abstractNumId w:val="60"/>
  </w:num>
  <w:num w:numId="80" w16cid:durableId="1463159665">
    <w:abstractNumId w:val="40"/>
  </w:num>
  <w:num w:numId="81" w16cid:durableId="464547221">
    <w:abstractNumId w:val="81"/>
  </w:num>
  <w:num w:numId="82" w16cid:durableId="861548219">
    <w:abstractNumId w:val="2"/>
  </w:num>
  <w:num w:numId="83" w16cid:durableId="48116111">
    <w:abstractNumId w:val="22"/>
  </w:num>
  <w:num w:numId="84" w16cid:durableId="714353172">
    <w:abstractNumId w:val="10"/>
  </w:num>
  <w:num w:numId="85" w16cid:durableId="2071225893">
    <w:abstractNumId w:val="94"/>
  </w:num>
  <w:num w:numId="86" w16cid:durableId="1043167497">
    <w:abstractNumId w:val="50"/>
  </w:num>
  <w:num w:numId="87" w16cid:durableId="1113017548">
    <w:abstractNumId w:val="38"/>
  </w:num>
  <w:num w:numId="88" w16cid:durableId="1205212419">
    <w:abstractNumId w:val="66"/>
  </w:num>
  <w:num w:numId="89" w16cid:durableId="1716736607">
    <w:abstractNumId w:val="12"/>
  </w:num>
  <w:num w:numId="90" w16cid:durableId="1618029482">
    <w:abstractNumId w:val="61"/>
  </w:num>
  <w:num w:numId="91" w16cid:durableId="1214200049">
    <w:abstractNumId w:val="93"/>
  </w:num>
  <w:num w:numId="92" w16cid:durableId="1319188955">
    <w:abstractNumId w:val="37"/>
  </w:num>
  <w:num w:numId="93" w16cid:durableId="617109042">
    <w:abstractNumId w:val="63"/>
  </w:num>
  <w:num w:numId="94" w16cid:durableId="1525511113">
    <w:abstractNumId w:val="35"/>
  </w:num>
  <w:num w:numId="95" w16cid:durableId="1695038399">
    <w:abstractNumId w:val="33"/>
  </w:num>
  <w:num w:numId="96" w16cid:durableId="2037384151">
    <w:abstractNumId w:val="101"/>
  </w:num>
  <w:num w:numId="97" w16cid:durableId="1045714661">
    <w:abstractNumId w:val="99"/>
  </w:num>
  <w:num w:numId="98" w16cid:durableId="1975790945">
    <w:abstractNumId w:val="100"/>
  </w:num>
  <w:num w:numId="99" w16cid:durableId="75975636">
    <w:abstractNumId w:val="15"/>
  </w:num>
  <w:num w:numId="100" w16cid:durableId="1439175872">
    <w:abstractNumId w:val="44"/>
  </w:num>
  <w:num w:numId="101" w16cid:durableId="607782464">
    <w:abstractNumId w:val="75"/>
  </w:num>
  <w:num w:numId="102" w16cid:durableId="1766539069">
    <w:abstractNumId w:val="16"/>
  </w:num>
  <w:num w:numId="103" w16cid:durableId="327906380">
    <w:abstractNumId w:val="47"/>
  </w:num>
  <w:num w:numId="104" w16cid:durableId="1197235765">
    <w:abstractNumId w:val="20"/>
  </w:num>
  <w:num w:numId="105" w16cid:durableId="183053954">
    <w:abstractNumId w:val="29"/>
  </w:num>
  <w:num w:numId="106" w16cid:durableId="1751077465">
    <w:abstractNumId w:val="13"/>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32"/>
    <w:rsid w:val="00001977"/>
    <w:rsid w:val="0000274E"/>
    <w:rsid w:val="00003869"/>
    <w:rsid w:val="00006F70"/>
    <w:rsid w:val="000119CB"/>
    <w:rsid w:val="00012689"/>
    <w:rsid w:val="0001697A"/>
    <w:rsid w:val="000228CF"/>
    <w:rsid w:val="00025996"/>
    <w:rsid w:val="00026AC5"/>
    <w:rsid w:val="00032D0D"/>
    <w:rsid w:val="0003467D"/>
    <w:rsid w:val="0003610B"/>
    <w:rsid w:val="000365DF"/>
    <w:rsid w:val="00036AA7"/>
    <w:rsid w:val="00037A78"/>
    <w:rsid w:val="00040A12"/>
    <w:rsid w:val="00040D29"/>
    <w:rsid w:val="00042CD1"/>
    <w:rsid w:val="00046506"/>
    <w:rsid w:val="00046BBF"/>
    <w:rsid w:val="000473FA"/>
    <w:rsid w:val="000475C5"/>
    <w:rsid w:val="00050996"/>
    <w:rsid w:val="00051E39"/>
    <w:rsid w:val="00052CE7"/>
    <w:rsid w:val="00053034"/>
    <w:rsid w:val="00060554"/>
    <w:rsid w:val="00061648"/>
    <w:rsid w:val="0006176C"/>
    <w:rsid w:val="00062D71"/>
    <w:rsid w:val="00063D23"/>
    <w:rsid w:val="00072FD3"/>
    <w:rsid w:val="00073041"/>
    <w:rsid w:val="00074AEE"/>
    <w:rsid w:val="0007514C"/>
    <w:rsid w:val="00077E06"/>
    <w:rsid w:val="000820C1"/>
    <w:rsid w:val="00082678"/>
    <w:rsid w:val="000828D3"/>
    <w:rsid w:val="00082FD3"/>
    <w:rsid w:val="0008489A"/>
    <w:rsid w:val="000876EC"/>
    <w:rsid w:val="00091635"/>
    <w:rsid w:val="0009294E"/>
    <w:rsid w:val="00093FA6"/>
    <w:rsid w:val="00094776"/>
    <w:rsid w:val="00094A3F"/>
    <w:rsid w:val="0009602C"/>
    <w:rsid w:val="00096510"/>
    <w:rsid w:val="000A225C"/>
    <w:rsid w:val="000A4251"/>
    <w:rsid w:val="000A455A"/>
    <w:rsid w:val="000A6A7C"/>
    <w:rsid w:val="000B0278"/>
    <w:rsid w:val="000B1009"/>
    <w:rsid w:val="000B4864"/>
    <w:rsid w:val="000B56D1"/>
    <w:rsid w:val="000B5A74"/>
    <w:rsid w:val="000B747C"/>
    <w:rsid w:val="000C0A99"/>
    <w:rsid w:val="000C19C6"/>
    <w:rsid w:val="000C5150"/>
    <w:rsid w:val="000C6AD3"/>
    <w:rsid w:val="000C73A6"/>
    <w:rsid w:val="000D0770"/>
    <w:rsid w:val="000D5358"/>
    <w:rsid w:val="000D54B0"/>
    <w:rsid w:val="000D6B0D"/>
    <w:rsid w:val="000D7851"/>
    <w:rsid w:val="000E2BDE"/>
    <w:rsid w:val="000E330A"/>
    <w:rsid w:val="000E3356"/>
    <w:rsid w:val="000E3687"/>
    <w:rsid w:val="000E3CAD"/>
    <w:rsid w:val="000E4A0B"/>
    <w:rsid w:val="000E6088"/>
    <w:rsid w:val="000E6F60"/>
    <w:rsid w:val="000F3713"/>
    <w:rsid w:val="000F750D"/>
    <w:rsid w:val="000F7C19"/>
    <w:rsid w:val="00100A65"/>
    <w:rsid w:val="00100A81"/>
    <w:rsid w:val="00113E53"/>
    <w:rsid w:val="00115753"/>
    <w:rsid w:val="00120145"/>
    <w:rsid w:val="00120990"/>
    <w:rsid w:val="001256BA"/>
    <w:rsid w:val="00131009"/>
    <w:rsid w:val="0013236B"/>
    <w:rsid w:val="001345C5"/>
    <w:rsid w:val="0014022D"/>
    <w:rsid w:val="00143BB5"/>
    <w:rsid w:val="00145C81"/>
    <w:rsid w:val="00151046"/>
    <w:rsid w:val="00152DB6"/>
    <w:rsid w:val="00155915"/>
    <w:rsid w:val="00156CB8"/>
    <w:rsid w:val="001620B5"/>
    <w:rsid w:val="00163B86"/>
    <w:rsid w:val="001663B3"/>
    <w:rsid w:val="001672E8"/>
    <w:rsid w:val="00167BA3"/>
    <w:rsid w:val="001718E4"/>
    <w:rsid w:val="00172D97"/>
    <w:rsid w:val="00174920"/>
    <w:rsid w:val="00175261"/>
    <w:rsid w:val="001922CF"/>
    <w:rsid w:val="00192813"/>
    <w:rsid w:val="00195613"/>
    <w:rsid w:val="00196B53"/>
    <w:rsid w:val="001975FD"/>
    <w:rsid w:val="00197699"/>
    <w:rsid w:val="001A0E0A"/>
    <w:rsid w:val="001A3273"/>
    <w:rsid w:val="001A53C7"/>
    <w:rsid w:val="001A5947"/>
    <w:rsid w:val="001B0574"/>
    <w:rsid w:val="001B1369"/>
    <w:rsid w:val="001B1D54"/>
    <w:rsid w:val="001B2699"/>
    <w:rsid w:val="001B29D8"/>
    <w:rsid w:val="001B37D5"/>
    <w:rsid w:val="001B42A1"/>
    <w:rsid w:val="001B56B3"/>
    <w:rsid w:val="001B7BE9"/>
    <w:rsid w:val="001C166B"/>
    <w:rsid w:val="001C21E4"/>
    <w:rsid w:val="001C7141"/>
    <w:rsid w:val="001D03A2"/>
    <w:rsid w:val="001D2A58"/>
    <w:rsid w:val="001D5323"/>
    <w:rsid w:val="001D627B"/>
    <w:rsid w:val="001E0FF6"/>
    <w:rsid w:val="001E1A8C"/>
    <w:rsid w:val="001E2B3B"/>
    <w:rsid w:val="001E78B9"/>
    <w:rsid w:val="001F099C"/>
    <w:rsid w:val="001F2221"/>
    <w:rsid w:val="001F3819"/>
    <w:rsid w:val="001F3965"/>
    <w:rsid w:val="001F4452"/>
    <w:rsid w:val="001F4ED5"/>
    <w:rsid w:val="001F52D2"/>
    <w:rsid w:val="001F5643"/>
    <w:rsid w:val="001F61A5"/>
    <w:rsid w:val="002026B6"/>
    <w:rsid w:val="00202ED7"/>
    <w:rsid w:val="002057BE"/>
    <w:rsid w:val="002060DF"/>
    <w:rsid w:val="002131DB"/>
    <w:rsid w:val="00213F9C"/>
    <w:rsid w:val="00214CBF"/>
    <w:rsid w:val="002171B9"/>
    <w:rsid w:val="00220226"/>
    <w:rsid w:val="00221BA6"/>
    <w:rsid w:val="002223A9"/>
    <w:rsid w:val="0022319F"/>
    <w:rsid w:val="002232A9"/>
    <w:rsid w:val="00224D85"/>
    <w:rsid w:val="00225998"/>
    <w:rsid w:val="002274D4"/>
    <w:rsid w:val="00227C5F"/>
    <w:rsid w:val="00230210"/>
    <w:rsid w:val="002347AC"/>
    <w:rsid w:val="002436C8"/>
    <w:rsid w:val="002438F8"/>
    <w:rsid w:val="00243CBD"/>
    <w:rsid w:val="002446A4"/>
    <w:rsid w:val="00246FE2"/>
    <w:rsid w:val="00247E55"/>
    <w:rsid w:val="00250ACD"/>
    <w:rsid w:val="0025167B"/>
    <w:rsid w:val="002518F8"/>
    <w:rsid w:val="002522AD"/>
    <w:rsid w:val="00253E5C"/>
    <w:rsid w:val="00254520"/>
    <w:rsid w:val="00255537"/>
    <w:rsid w:val="00260286"/>
    <w:rsid w:val="00261389"/>
    <w:rsid w:val="00265430"/>
    <w:rsid w:val="00266D53"/>
    <w:rsid w:val="00270238"/>
    <w:rsid w:val="00270D14"/>
    <w:rsid w:val="00271C51"/>
    <w:rsid w:val="00272529"/>
    <w:rsid w:val="00274153"/>
    <w:rsid w:val="00276190"/>
    <w:rsid w:val="002764C0"/>
    <w:rsid w:val="00277A19"/>
    <w:rsid w:val="00284662"/>
    <w:rsid w:val="002852CB"/>
    <w:rsid w:val="00286C80"/>
    <w:rsid w:val="0029062F"/>
    <w:rsid w:val="00291CED"/>
    <w:rsid w:val="00292A04"/>
    <w:rsid w:val="00292C79"/>
    <w:rsid w:val="00294229"/>
    <w:rsid w:val="00294903"/>
    <w:rsid w:val="002949FB"/>
    <w:rsid w:val="00294F18"/>
    <w:rsid w:val="0029544A"/>
    <w:rsid w:val="002A06DB"/>
    <w:rsid w:val="002A0748"/>
    <w:rsid w:val="002A4D1F"/>
    <w:rsid w:val="002A4E9B"/>
    <w:rsid w:val="002A6372"/>
    <w:rsid w:val="002B0D67"/>
    <w:rsid w:val="002B1186"/>
    <w:rsid w:val="002B1412"/>
    <w:rsid w:val="002B33E9"/>
    <w:rsid w:val="002B5A1F"/>
    <w:rsid w:val="002B7B55"/>
    <w:rsid w:val="002C0EC6"/>
    <w:rsid w:val="002C56CD"/>
    <w:rsid w:val="002C66F5"/>
    <w:rsid w:val="002C7490"/>
    <w:rsid w:val="002D012E"/>
    <w:rsid w:val="002D3CD8"/>
    <w:rsid w:val="002D65BD"/>
    <w:rsid w:val="002E0F12"/>
    <w:rsid w:val="002E0F38"/>
    <w:rsid w:val="002E19BC"/>
    <w:rsid w:val="002E2182"/>
    <w:rsid w:val="002E2593"/>
    <w:rsid w:val="002E2688"/>
    <w:rsid w:val="002E2B7A"/>
    <w:rsid w:val="002E3CE9"/>
    <w:rsid w:val="002E4533"/>
    <w:rsid w:val="002E4816"/>
    <w:rsid w:val="002E4BD0"/>
    <w:rsid w:val="002E5A69"/>
    <w:rsid w:val="002E7144"/>
    <w:rsid w:val="002E77A2"/>
    <w:rsid w:val="002F25FA"/>
    <w:rsid w:val="002F3087"/>
    <w:rsid w:val="002F3B15"/>
    <w:rsid w:val="002F6819"/>
    <w:rsid w:val="00300DB2"/>
    <w:rsid w:val="0030275F"/>
    <w:rsid w:val="00304285"/>
    <w:rsid w:val="00306A93"/>
    <w:rsid w:val="003077EE"/>
    <w:rsid w:val="00310541"/>
    <w:rsid w:val="0031336F"/>
    <w:rsid w:val="00313D35"/>
    <w:rsid w:val="0031485B"/>
    <w:rsid w:val="00315059"/>
    <w:rsid w:val="003153FC"/>
    <w:rsid w:val="003159E7"/>
    <w:rsid w:val="003161F3"/>
    <w:rsid w:val="0032004F"/>
    <w:rsid w:val="00320187"/>
    <w:rsid w:val="00320C0B"/>
    <w:rsid w:val="00322858"/>
    <w:rsid w:val="003265CF"/>
    <w:rsid w:val="003275DA"/>
    <w:rsid w:val="00327980"/>
    <w:rsid w:val="00330DC9"/>
    <w:rsid w:val="00331F66"/>
    <w:rsid w:val="00333CE3"/>
    <w:rsid w:val="00334E2E"/>
    <w:rsid w:val="00334ECE"/>
    <w:rsid w:val="0033520F"/>
    <w:rsid w:val="003352F4"/>
    <w:rsid w:val="00335605"/>
    <w:rsid w:val="003359D5"/>
    <w:rsid w:val="00336D8D"/>
    <w:rsid w:val="003417ED"/>
    <w:rsid w:val="003421A6"/>
    <w:rsid w:val="003443B8"/>
    <w:rsid w:val="003459FA"/>
    <w:rsid w:val="00351748"/>
    <w:rsid w:val="00351C81"/>
    <w:rsid w:val="003542C9"/>
    <w:rsid w:val="003551BF"/>
    <w:rsid w:val="003560F6"/>
    <w:rsid w:val="0035627B"/>
    <w:rsid w:val="00357140"/>
    <w:rsid w:val="00357365"/>
    <w:rsid w:val="003601DF"/>
    <w:rsid w:val="003618C8"/>
    <w:rsid w:val="00362940"/>
    <w:rsid w:val="0036421A"/>
    <w:rsid w:val="003645DD"/>
    <w:rsid w:val="00367591"/>
    <w:rsid w:val="0037147E"/>
    <w:rsid w:val="00371A46"/>
    <w:rsid w:val="003728B2"/>
    <w:rsid w:val="00374D04"/>
    <w:rsid w:val="00375FF2"/>
    <w:rsid w:val="00376958"/>
    <w:rsid w:val="00377936"/>
    <w:rsid w:val="00380777"/>
    <w:rsid w:val="0038251E"/>
    <w:rsid w:val="00382FE9"/>
    <w:rsid w:val="003832CB"/>
    <w:rsid w:val="00384035"/>
    <w:rsid w:val="00384187"/>
    <w:rsid w:val="003857DD"/>
    <w:rsid w:val="00385D87"/>
    <w:rsid w:val="003876D1"/>
    <w:rsid w:val="003904EC"/>
    <w:rsid w:val="00390920"/>
    <w:rsid w:val="00390C25"/>
    <w:rsid w:val="003915DD"/>
    <w:rsid w:val="003918EB"/>
    <w:rsid w:val="00395D84"/>
    <w:rsid w:val="003968E8"/>
    <w:rsid w:val="003A0035"/>
    <w:rsid w:val="003A2598"/>
    <w:rsid w:val="003A3AB9"/>
    <w:rsid w:val="003A3EEA"/>
    <w:rsid w:val="003A4F77"/>
    <w:rsid w:val="003A59B5"/>
    <w:rsid w:val="003A7051"/>
    <w:rsid w:val="003A7A40"/>
    <w:rsid w:val="003A7FA5"/>
    <w:rsid w:val="003B0B38"/>
    <w:rsid w:val="003B3C32"/>
    <w:rsid w:val="003B3E72"/>
    <w:rsid w:val="003B4168"/>
    <w:rsid w:val="003B4A34"/>
    <w:rsid w:val="003B78F3"/>
    <w:rsid w:val="003C246A"/>
    <w:rsid w:val="003C52CC"/>
    <w:rsid w:val="003C7D8D"/>
    <w:rsid w:val="003D14B6"/>
    <w:rsid w:val="003D164B"/>
    <w:rsid w:val="003D37DA"/>
    <w:rsid w:val="003D3E58"/>
    <w:rsid w:val="003D56D6"/>
    <w:rsid w:val="003D7CB4"/>
    <w:rsid w:val="003F0D79"/>
    <w:rsid w:val="003F1D3D"/>
    <w:rsid w:val="003F2297"/>
    <w:rsid w:val="003F34D9"/>
    <w:rsid w:val="003F41DA"/>
    <w:rsid w:val="003F7829"/>
    <w:rsid w:val="00400BAB"/>
    <w:rsid w:val="00401971"/>
    <w:rsid w:val="00402443"/>
    <w:rsid w:val="00402B29"/>
    <w:rsid w:val="00402F83"/>
    <w:rsid w:val="00406124"/>
    <w:rsid w:val="004078DE"/>
    <w:rsid w:val="00410E9A"/>
    <w:rsid w:val="00411241"/>
    <w:rsid w:val="004117A2"/>
    <w:rsid w:val="004121C8"/>
    <w:rsid w:val="00412C4C"/>
    <w:rsid w:val="00413129"/>
    <w:rsid w:val="0041376C"/>
    <w:rsid w:val="004147B6"/>
    <w:rsid w:val="004150DB"/>
    <w:rsid w:val="00416B75"/>
    <w:rsid w:val="00416E70"/>
    <w:rsid w:val="0041740A"/>
    <w:rsid w:val="00420371"/>
    <w:rsid w:val="00422AEF"/>
    <w:rsid w:val="00424903"/>
    <w:rsid w:val="00424B76"/>
    <w:rsid w:val="004253E4"/>
    <w:rsid w:val="004255FE"/>
    <w:rsid w:val="004266DF"/>
    <w:rsid w:val="004333AA"/>
    <w:rsid w:val="00434E98"/>
    <w:rsid w:val="00435A4B"/>
    <w:rsid w:val="0043744E"/>
    <w:rsid w:val="00442B44"/>
    <w:rsid w:val="00442C82"/>
    <w:rsid w:val="00445618"/>
    <w:rsid w:val="00445915"/>
    <w:rsid w:val="004460E7"/>
    <w:rsid w:val="004472C4"/>
    <w:rsid w:val="00447F9B"/>
    <w:rsid w:val="00450069"/>
    <w:rsid w:val="0045209E"/>
    <w:rsid w:val="00454375"/>
    <w:rsid w:val="004567AD"/>
    <w:rsid w:val="0045746A"/>
    <w:rsid w:val="00461043"/>
    <w:rsid w:val="004622B9"/>
    <w:rsid w:val="0046276D"/>
    <w:rsid w:val="00464CCB"/>
    <w:rsid w:val="0046514A"/>
    <w:rsid w:val="00470266"/>
    <w:rsid w:val="0047083A"/>
    <w:rsid w:val="00471438"/>
    <w:rsid w:val="00473FCD"/>
    <w:rsid w:val="00474E5A"/>
    <w:rsid w:val="00475F03"/>
    <w:rsid w:val="004772E2"/>
    <w:rsid w:val="004810CE"/>
    <w:rsid w:val="00484708"/>
    <w:rsid w:val="0048555D"/>
    <w:rsid w:val="00486D7C"/>
    <w:rsid w:val="004901BD"/>
    <w:rsid w:val="004904FD"/>
    <w:rsid w:val="004954CD"/>
    <w:rsid w:val="004966D1"/>
    <w:rsid w:val="00497D6D"/>
    <w:rsid w:val="00497F6E"/>
    <w:rsid w:val="00497FE5"/>
    <w:rsid w:val="004A0089"/>
    <w:rsid w:val="004A0EDD"/>
    <w:rsid w:val="004A233B"/>
    <w:rsid w:val="004A554C"/>
    <w:rsid w:val="004A7987"/>
    <w:rsid w:val="004B2C0C"/>
    <w:rsid w:val="004B4B81"/>
    <w:rsid w:val="004C46D6"/>
    <w:rsid w:val="004C4FD1"/>
    <w:rsid w:val="004D1398"/>
    <w:rsid w:val="004D4561"/>
    <w:rsid w:val="004D5048"/>
    <w:rsid w:val="004D5F0C"/>
    <w:rsid w:val="004D6956"/>
    <w:rsid w:val="004D7629"/>
    <w:rsid w:val="004D7DFD"/>
    <w:rsid w:val="004E0FA4"/>
    <w:rsid w:val="004E18F5"/>
    <w:rsid w:val="004E26C1"/>
    <w:rsid w:val="004E33F7"/>
    <w:rsid w:val="004E43C8"/>
    <w:rsid w:val="004E4E43"/>
    <w:rsid w:val="004E63AD"/>
    <w:rsid w:val="004E71F8"/>
    <w:rsid w:val="004F04FE"/>
    <w:rsid w:val="004F0B6E"/>
    <w:rsid w:val="004F3BE9"/>
    <w:rsid w:val="004F3CCB"/>
    <w:rsid w:val="004F3FF8"/>
    <w:rsid w:val="0050182C"/>
    <w:rsid w:val="00501E98"/>
    <w:rsid w:val="00503DCC"/>
    <w:rsid w:val="00504EA4"/>
    <w:rsid w:val="00504F5D"/>
    <w:rsid w:val="005068F4"/>
    <w:rsid w:val="00507646"/>
    <w:rsid w:val="005106D7"/>
    <w:rsid w:val="00514D8C"/>
    <w:rsid w:val="00515580"/>
    <w:rsid w:val="00516080"/>
    <w:rsid w:val="005163B2"/>
    <w:rsid w:val="00516C37"/>
    <w:rsid w:val="005170CE"/>
    <w:rsid w:val="00523E91"/>
    <w:rsid w:val="00524D95"/>
    <w:rsid w:val="00526732"/>
    <w:rsid w:val="005301AF"/>
    <w:rsid w:val="005302E1"/>
    <w:rsid w:val="0053040C"/>
    <w:rsid w:val="00530E00"/>
    <w:rsid w:val="00531E1C"/>
    <w:rsid w:val="00532F66"/>
    <w:rsid w:val="00534602"/>
    <w:rsid w:val="00536A4E"/>
    <w:rsid w:val="00540115"/>
    <w:rsid w:val="00541095"/>
    <w:rsid w:val="00542766"/>
    <w:rsid w:val="00542938"/>
    <w:rsid w:val="0054462E"/>
    <w:rsid w:val="0054703E"/>
    <w:rsid w:val="00551036"/>
    <w:rsid w:val="00551BB7"/>
    <w:rsid w:val="0055261B"/>
    <w:rsid w:val="00555FF5"/>
    <w:rsid w:val="00556133"/>
    <w:rsid w:val="005565DF"/>
    <w:rsid w:val="005579A7"/>
    <w:rsid w:val="00557A08"/>
    <w:rsid w:val="00560EA2"/>
    <w:rsid w:val="00566A23"/>
    <w:rsid w:val="0057262E"/>
    <w:rsid w:val="005738AF"/>
    <w:rsid w:val="0057575A"/>
    <w:rsid w:val="005758E6"/>
    <w:rsid w:val="00580BDE"/>
    <w:rsid w:val="00585957"/>
    <w:rsid w:val="0058697C"/>
    <w:rsid w:val="00586E1E"/>
    <w:rsid w:val="0058726A"/>
    <w:rsid w:val="0059050A"/>
    <w:rsid w:val="00590D3A"/>
    <w:rsid w:val="00590EF6"/>
    <w:rsid w:val="005938C7"/>
    <w:rsid w:val="00596D6F"/>
    <w:rsid w:val="005972C4"/>
    <w:rsid w:val="005A2415"/>
    <w:rsid w:val="005A7388"/>
    <w:rsid w:val="005B086C"/>
    <w:rsid w:val="005B1259"/>
    <w:rsid w:val="005B46E4"/>
    <w:rsid w:val="005B5903"/>
    <w:rsid w:val="005C10FD"/>
    <w:rsid w:val="005C4672"/>
    <w:rsid w:val="005C7D41"/>
    <w:rsid w:val="005D23F9"/>
    <w:rsid w:val="005D3637"/>
    <w:rsid w:val="005D45CA"/>
    <w:rsid w:val="005D463C"/>
    <w:rsid w:val="005D5F46"/>
    <w:rsid w:val="005D6E34"/>
    <w:rsid w:val="005D724D"/>
    <w:rsid w:val="005E0782"/>
    <w:rsid w:val="005E631F"/>
    <w:rsid w:val="005F017B"/>
    <w:rsid w:val="005F1911"/>
    <w:rsid w:val="005F43F6"/>
    <w:rsid w:val="00600B00"/>
    <w:rsid w:val="00602945"/>
    <w:rsid w:val="006040D8"/>
    <w:rsid w:val="00604938"/>
    <w:rsid w:val="0060619C"/>
    <w:rsid w:val="00606E08"/>
    <w:rsid w:val="00611B1C"/>
    <w:rsid w:val="006140B6"/>
    <w:rsid w:val="00614A38"/>
    <w:rsid w:val="00614EB5"/>
    <w:rsid w:val="00620911"/>
    <w:rsid w:val="00620E24"/>
    <w:rsid w:val="0062200D"/>
    <w:rsid w:val="00623BDA"/>
    <w:rsid w:val="0063045C"/>
    <w:rsid w:val="00631EDB"/>
    <w:rsid w:val="00632A2D"/>
    <w:rsid w:val="00635028"/>
    <w:rsid w:val="00635C5A"/>
    <w:rsid w:val="00635EB0"/>
    <w:rsid w:val="006360EC"/>
    <w:rsid w:val="0063634B"/>
    <w:rsid w:val="00636C4A"/>
    <w:rsid w:val="00637786"/>
    <w:rsid w:val="0063781C"/>
    <w:rsid w:val="00637A97"/>
    <w:rsid w:val="00644040"/>
    <w:rsid w:val="006461A9"/>
    <w:rsid w:val="006523A1"/>
    <w:rsid w:val="00660A97"/>
    <w:rsid w:val="006615FF"/>
    <w:rsid w:val="00662B81"/>
    <w:rsid w:val="00663BAF"/>
    <w:rsid w:val="006649B8"/>
    <w:rsid w:val="0066709E"/>
    <w:rsid w:val="00670200"/>
    <w:rsid w:val="00670FAA"/>
    <w:rsid w:val="00671D89"/>
    <w:rsid w:val="0067470C"/>
    <w:rsid w:val="006761D7"/>
    <w:rsid w:val="006777D4"/>
    <w:rsid w:val="00681C60"/>
    <w:rsid w:val="0068364F"/>
    <w:rsid w:val="00686DDC"/>
    <w:rsid w:val="00690CD5"/>
    <w:rsid w:val="006929CB"/>
    <w:rsid w:val="00692F69"/>
    <w:rsid w:val="00695015"/>
    <w:rsid w:val="00696C66"/>
    <w:rsid w:val="00696DF3"/>
    <w:rsid w:val="006A0CAC"/>
    <w:rsid w:val="006A1A66"/>
    <w:rsid w:val="006A2F4D"/>
    <w:rsid w:val="006A5941"/>
    <w:rsid w:val="006A6D6A"/>
    <w:rsid w:val="006B442F"/>
    <w:rsid w:val="006B5EEC"/>
    <w:rsid w:val="006B69CD"/>
    <w:rsid w:val="006C083E"/>
    <w:rsid w:val="006C098A"/>
    <w:rsid w:val="006C2719"/>
    <w:rsid w:val="006C2810"/>
    <w:rsid w:val="006C28D0"/>
    <w:rsid w:val="006C33E1"/>
    <w:rsid w:val="006C4AFA"/>
    <w:rsid w:val="006C74AD"/>
    <w:rsid w:val="006C7968"/>
    <w:rsid w:val="006D0142"/>
    <w:rsid w:val="006D15D9"/>
    <w:rsid w:val="006D2A4D"/>
    <w:rsid w:val="006D3FBE"/>
    <w:rsid w:val="006D5077"/>
    <w:rsid w:val="006D5395"/>
    <w:rsid w:val="006D6681"/>
    <w:rsid w:val="006D6F84"/>
    <w:rsid w:val="006D77B9"/>
    <w:rsid w:val="006E0AA6"/>
    <w:rsid w:val="006E0C02"/>
    <w:rsid w:val="006E447F"/>
    <w:rsid w:val="006E4755"/>
    <w:rsid w:val="006E4BE7"/>
    <w:rsid w:val="006F0788"/>
    <w:rsid w:val="006F0E3A"/>
    <w:rsid w:val="006F134B"/>
    <w:rsid w:val="006F13E2"/>
    <w:rsid w:val="006F17DC"/>
    <w:rsid w:val="006F1A87"/>
    <w:rsid w:val="006F3AE6"/>
    <w:rsid w:val="006F3F50"/>
    <w:rsid w:val="006F49DC"/>
    <w:rsid w:val="006F6314"/>
    <w:rsid w:val="007000F0"/>
    <w:rsid w:val="00700BA2"/>
    <w:rsid w:val="00703815"/>
    <w:rsid w:val="00703F99"/>
    <w:rsid w:val="007053A0"/>
    <w:rsid w:val="00705F64"/>
    <w:rsid w:val="00711B24"/>
    <w:rsid w:val="00713AAC"/>
    <w:rsid w:val="00714495"/>
    <w:rsid w:val="007156E6"/>
    <w:rsid w:val="0071606E"/>
    <w:rsid w:val="0071626C"/>
    <w:rsid w:val="00717184"/>
    <w:rsid w:val="007205AB"/>
    <w:rsid w:val="00721117"/>
    <w:rsid w:val="00723D7C"/>
    <w:rsid w:val="0072472A"/>
    <w:rsid w:val="0072630A"/>
    <w:rsid w:val="00726FCB"/>
    <w:rsid w:val="007308A3"/>
    <w:rsid w:val="00730940"/>
    <w:rsid w:val="00731E64"/>
    <w:rsid w:val="00736466"/>
    <w:rsid w:val="0073680D"/>
    <w:rsid w:val="00747575"/>
    <w:rsid w:val="007505D4"/>
    <w:rsid w:val="00750E6D"/>
    <w:rsid w:val="007510F4"/>
    <w:rsid w:val="00752245"/>
    <w:rsid w:val="0075277C"/>
    <w:rsid w:val="0075699B"/>
    <w:rsid w:val="00757C83"/>
    <w:rsid w:val="00760BAD"/>
    <w:rsid w:val="00762146"/>
    <w:rsid w:val="00763599"/>
    <w:rsid w:val="00763BF3"/>
    <w:rsid w:val="00765B66"/>
    <w:rsid w:val="00771881"/>
    <w:rsid w:val="00774099"/>
    <w:rsid w:val="00774C03"/>
    <w:rsid w:val="007755BF"/>
    <w:rsid w:val="0077579C"/>
    <w:rsid w:val="00775A6B"/>
    <w:rsid w:val="00775DB2"/>
    <w:rsid w:val="00780CE5"/>
    <w:rsid w:val="007811DF"/>
    <w:rsid w:val="00782D9D"/>
    <w:rsid w:val="00784D2F"/>
    <w:rsid w:val="00784D83"/>
    <w:rsid w:val="00786A9D"/>
    <w:rsid w:val="007901AF"/>
    <w:rsid w:val="0079242F"/>
    <w:rsid w:val="00793D18"/>
    <w:rsid w:val="00795CB2"/>
    <w:rsid w:val="007A0D43"/>
    <w:rsid w:val="007A16D8"/>
    <w:rsid w:val="007A37B7"/>
    <w:rsid w:val="007A3FA4"/>
    <w:rsid w:val="007A505D"/>
    <w:rsid w:val="007A58CA"/>
    <w:rsid w:val="007A60A7"/>
    <w:rsid w:val="007A60BE"/>
    <w:rsid w:val="007A678D"/>
    <w:rsid w:val="007A7B09"/>
    <w:rsid w:val="007B0A7C"/>
    <w:rsid w:val="007B33BF"/>
    <w:rsid w:val="007B33D3"/>
    <w:rsid w:val="007B33EB"/>
    <w:rsid w:val="007B3466"/>
    <w:rsid w:val="007B42CA"/>
    <w:rsid w:val="007B605F"/>
    <w:rsid w:val="007B7626"/>
    <w:rsid w:val="007C1777"/>
    <w:rsid w:val="007C31CA"/>
    <w:rsid w:val="007C3AFD"/>
    <w:rsid w:val="007D087E"/>
    <w:rsid w:val="007D17E1"/>
    <w:rsid w:val="007D1D12"/>
    <w:rsid w:val="007D2D36"/>
    <w:rsid w:val="007D2EB0"/>
    <w:rsid w:val="007D3CEC"/>
    <w:rsid w:val="007D7404"/>
    <w:rsid w:val="007D7729"/>
    <w:rsid w:val="007D79E1"/>
    <w:rsid w:val="007D7DD6"/>
    <w:rsid w:val="007E1AA3"/>
    <w:rsid w:val="007E2685"/>
    <w:rsid w:val="007E2696"/>
    <w:rsid w:val="007E26BB"/>
    <w:rsid w:val="007E2D9F"/>
    <w:rsid w:val="007E3E3F"/>
    <w:rsid w:val="007E58C3"/>
    <w:rsid w:val="007E5DE7"/>
    <w:rsid w:val="007E6430"/>
    <w:rsid w:val="007F0FBA"/>
    <w:rsid w:val="007F2B38"/>
    <w:rsid w:val="007F672A"/>
    <w:rsid w:val="00801080"/>
    <w:rsid w:val="00802B2B"/>
    <w:rsid w:val="008036CC"/>
    <w:rsid w:val="00804042"/>
    <w:rsid w:val="008069F0"/>
    <w:rsid w:val="008073C8"/>
    <w:rsid w:val="00810C72"/>
    <w:rsid w:val="00811BA9"/>
    <w:rsid w:val="00813507"/>
    <w:rsid w:val="00813F19"/>
    <w:rsid w:val="00814311"/>
    <w:rsid w:val="008151DF"/>
    <w:rsid w:val="00815F48"/>
    <w:rsid w:val="008162C9"/>
    <w:rsid w:val="00817207"/>
    <w:rsid w:val="00817BFE"/>
    <w:rsid w:val="00823AA8"/>
    <w:rsid w:val="00823CC3"/>
    <w:rsid w:val="00830672"/>
    <w:rsid w:val="00830C3C"/>
    <w:rsid w:val="00831404"/>
    <w:rsid w:val="00832AB6"/>
    <w:rsid w:val="008330E9"/>
    <w:rsid w:val="00833694"/>
    <w:rsid w:val="00834B50"/>
    <w:rsid w:val="00835B60"/>
    <w:rsid w:val="00836BF0"/>
    <w:rsid w:val="00837E22"/>
    <w:rsid w:val="0084181F"/>
    <w:rsid w:val="00841FBC"/>
    <w:rsid w:val="00845695"/>
    <w:rsid w:val="00845DCF"/>
    <w:rsid w:val="00847046"/>
    <w:rsid w:val="008471A2"/>
    <w:rsid w:val="00850297"/>
    <w:rsid w:val="00851D97"/>
    <w:rsid w:val="00853860"/>
    <w:rsid w:val="00855E92"/>
    <w:rsid w:val="008568EE"/>
    <w:rsid w:val="00856A50"/>
    <w:rsid w:val="00857C16"/>
    <w:rsid w:val="008632B8"/>
    <w:rsid w:val="008645E7"/>
    <w:rsid w:val="008716B7"/>
    <w:rsid w:val="008737A3"/>
    <w:rsid w:val="00873F65"/>
    <w:rsid w:val="008755AB"/>
    <w:rsid w:val="00877C7F"/>
    <w:rsid w:val="0088105D"/>
    <w:rsid w:val="00882A42"/>
    <w:rsid w:val="00882E46"/>
    <w:rsid w:val="00887AA2"/>
    <w:rsid w:val="00895E66"/>
    <w:rsid w:val="008A1FA9"/>
    <w:rsid w:val="008A2F72"/>
    <w:rsid w:val="008A66B2"/>
    <w:rsid w:val="008A7494"/>
    <w:rsid w:val="008B0650"/>
    <w:rsid w:val="008B0E11"/>
    <w:rsid w:val="008B1DE5"/>
    <w:rsid w:val="008B1E14"/>
    <w:rsid w:val="008B42B2"/>
    <w:rsid w:val="008B5248"/>
    <w:rsid w:val="008B6D65"/>
    <w:rsid w:val="008B797F"/>
    <w:rsid w:val="008C1242"/>
    <w:rsid w:val="008C26E1"/>
    <w:rsid w:val="008C2905"/>
    <w:rsid w:val="008C2DCF"/>
    <w:rsid w:val="008D0E4F"/>
    <w:rsid w:val="008D1AC0"/>
    <w:rsid w:val="008D1FB7"/>
    <w:rsid w:val="008D46F9"/>
    <w:rsid w:val="008D7370"/>
    <w:rsid w:val="008E0B1A"/>
    <w:rsid w:val="008E24AA"/>
    <w:rsid w:val="008E46D5"/>
    <w:rsid w:val="008F0847"/>
    <w:rsid w:val="008F2B34"/>
    <w:rsid w:val="008F6F7B"/>
    <w:rsid w:val="008F75A9"/>
    <w:rsid w:val="0090124B"/>
    <w:rsid w:val="00901FA4"/>
    <w:rsid w:val="00902F3D"/>
    <w:rsid w:val="009030ED"/>
    <w:rsid w:val="009042C1"/>
    <w:rsid w:val="0090449E"/>
    <w:rsid w:val="00904DC3"/>
    <w:rsid w:val="009056C4"/>
    <w:rsid w:val="00905B8D"/>
    <w:rsid w:val="00905DBA"/>
    <w:rsid w:val="00907B41"/>
    <w:rsid w:val="00910733"/>
    <w:rsid w:val="00912A2A"/>
    <w:rsid w:val="00912D7D"/>
    <w:rsid w:val="0091418C"/>
    <w:rsid w:val="009158AB"/>
    <w:rsid w:val="0091653B"/>
    <w:rsid w:val="00916E82"/>
    <w:rsid w:val="00917DB7"/>
    <w:rsid w:val="009208BF"/>
    <w:rsid w:val="00925AD2"/>
    <w:rsid w:val="00927497"/>
    <w:rsid w:val="0093108B"/>
    <w:rsid w:val="00931E76"/>
    <w:rsid w:val="00934791"/>
    <w:rsid w:val="009348C9"/>
    <w:rsid w:val="0093551D"/>
    <w:rsid w:val="009357D4"/>
    <w:rsid w:val="00936AE4"/>
    <w:rsid w:val="00936CA1"/>
    <w:rsid w:val="00941337"/>
    <w:rsid w:val="009416CA"/>
    <w:rsid w:val="00941BB1"/>
    <w:rsid w:val="00943E6F"/>
    <w:rsid w:val="00945EAB"/>
    <w:rsid w:val="00946FD3"/>
    <w:rsid w:val="00951EF1"/>
    <w:rsid w:val="009533D7"/>
    <w:rsid w:val="00953595"/>
    <w:rsid w:val="00954C13"/>
    <w:rsid w:val="009570D9"/>
    <w:rsid w:val="00957290"/>
    <w:rsid w:val="0096040E"/>
    <w:rsid w:val="00961378"/>
    <w:rsid w:val="009615E5"/>
    <w:rsid w:val="009632BA"/>
    <w:rsid w:val="009659E8"/>
    <w:rsid w:val="00965F2F"/>
    <w:rsid w:val="009718B6"/>
    <w:rsid w:val="00972A86"/>
    <w:rsid w:val="00973A15"/>
    <w:rsid w:val="0097606D"/>
    <w:rsid w:val="00981D20"/>
    <w:rsid w:val="00985592"/>
    <w:rsid w:val="00986C47"/>
    <w:rsid w:val="009907EE"/>
    <w:rsid w:val="00990E07"/>
    <w:rsid w:val="009918D2"/>
    <w:rsid w:val="009922FC"/>
    <w:rsid w:val="00993452"/>
    <w:rsid w:val="009970D8"/>
    <w:rsid w:val="009A133F"/>
    <w:rsid w:val="009A307B"/>
    <w:rsid w:val="009A5F92"/>
    <w:rsid w:val="009B2AF1"/>
    <w:rsid w:val="009B4F8A"/>
    <w:rsid w:val="009B55E3"/>
    <w:rsid w:val="009C0D60"/>
    <w:rsid w:val="009C1331"/>
    <w:rsid w:val="009C2B20"/>
    <w:rsid w:val="009C3932"/>
    <w:rsid w:val="009C4AFC"/>
    <w:rsid w:val="009C6281"/>
    <w:rsid w:val="009C73CC"/>
    <w:rsid w:val="009D02EF"/>
    <w:rsid w:val="009D11F1"/>
    <w:rsid w:val="009D374D"/>
    <w:rsid w:val="009E18DB"/>
    <w:rsid w:val="009E20AB"/>
    <w:rsid w:val="009E4BC3"/>
    <w:rsid w:val="009E4D55"/>
    <w:rsid w:val="009E56C9"/>
    <w:rsid w:val="009F011D"/>
    <w:rsid w:val="009F1AF6"/>
    <w:rsid w:val="009F50A1"/>
    <w:rsid w:val="009F55A1"/>
    <w:rsid w:val="009F6C1D"/>
    <w:rsid w:val="009F7B2B"/>
    <w:rsid w:val="00A01473"/>
    <w:rsid w:val="00A01791"/>
    <w:rsid w:val="00A03378"/>
    <w:rsid w:val="00A038AB"/>
    <w:rsid w:val="00A03FFE"/>
    <w:rsid w:val="00A040AF"/>
    <w:rsid w:val="00A050CD"/>
    <w:rsid w:val="00A053D3"/>
    <w:rsid w:val="00A058E1"/>
    <w:rsid w:val="00A10FB8"/>
    <w:rsid w:val="00A12F31"/>
    <w:rsid w:val="00A135E9"/>
    <w:rsid w:val="00A15F37"/>
    <w:rsid w:val="00A221D8"/>
    <w:rsid w:val="00A264F4"/>
    <w:rsid w:val="00A31CD8"/>
    <w:rsid w:val="00A31F98"/>
    <w:rsid w:val="00A336AF"/>
    <w:rsid w:val="00A3573B"/>
    <w:rsid w:val="00A36AFA"/>
    <w:rsid w:val="00A375E3"/>
    <w:rsid w:val="00A40A5C"/>
    <w:rsid w:val="00A44B35"/>
    <w:rsid w:val="00A45E74"/>
    <w:rsid w:val="00A4795A"/>
    <w:rsid w:val="00A50A2B"/>
    <w:rsid w:val="00A50E80"/>
    <w:rsid w:val="00A51752"/>
    <w:rsid w:val="00A52094"/>
    <w:rsid w:val="00A535B2"/>
    <w:rsid w:val="00A544FB"/>
    <w:rsid w:val="00A54A52"/>
    <w:rsid w:val="00A54EA7"/>
    <w:rsid w:val="00A55C37"/>
    <w:rsid w:val="00A57C85"/>
    <w:rsid w:val="00A57F62"/>
    <w:rsid w:val="00A618B7"/>
    <w:rsid w:val="00A61DCB"/>
    <w:rsid w:val="00A64C8C"/>
    <w:rsid w:val="00A64D77"/>
    <w:rsid w:val="00A6506F"/>
    <w:rsid w:val="00A666F1"/>
    <w:rsid w:val="00A67DB7"/>
    <w:rsid w:val="00A74D9F"/>
    <w:rsid w:val="00A750BA"/>
    <w:rsid w:val="00A760E5"/>
    <w:rsid w:val="00A767A6"/>
    <w:rsid w:val="00A77335"/>
    <w:rsid w:val="00A82BE7"/>
    <w:rsid w:val="00A8448D"/>
    <w:rsid w:val="00A85B3B"/>
    <w:rsid w:val="00A85EC9"/>
    <w:rsid w:val="00A85EE0"/>
    <w:rsid w:val="00A871E7"/>
    <w:rsid w:val="00A87E8E"/>
    <w:rsid w:val="00A9138A"/>
    <w:rsid w:val="00A92D82"/>
    <w:rsid w:val="00A92EAB"/>
    <w:rsid w:val="00A9499B"/>
    <w:rsid w:val="00A971D3"/>
    <w:rsid w:val="00A97253"/>
    <w:rsid w:val="00AA178E"/>
    <w:rsid w:val="00AA3BA5"/>
    <w:rsid w:val="00AA3E3D"/>
    <w:rsid w:val="00AA420D"/>
    <w:rsid w:val="00AA4939"/>
    <w:rsid w:val="00AA4D0E"/>
    <w:rsid w:val="00AA5907"/>
    <w:rsid w:val="00AA5CE6"/>
    <w:rsid w:val="00AA6A5D"/>
    <w:rsid w:val="00AB09CC"/>
    <w:rsid w:val="00AB2335"/>
    <w:rsid w:val="00AB293C"/>
    <w:rsid w:val="00AB2D15"/>
    <w:rsid w:val="00AB4689"/>
    <w:rsid w:val="00AB4751"/>
    <w:rsid w:val="00AB6843"/>
    <w:rsid w:val="00AC02EB"/>
    <w:rsid w:val="00AC07EB"/>
    <w:rsid w:val="00AC19BF"/>
    <w:rsid w:val="00AC2B6A"/>
    <w:rsid w:val="00AC5F59"/>
    <w:rsid w:val="00AC6109"/>
    <w:rsid w:val="00AD02BC"/>
    <w:rsid w:val="00AD2180"/>
    <w:rsid w:val="00AD30F1"/>
    <w:rsid w:val="00AE0993"/>
    <w:rsid w:val="00AE0E61"/>
    <w:rsid w:val="00AE1B03"/>
    <w:rsid w:val="00AE2828"/>
    <w:rsid w:val="00AE406F"/>
    <w:rsid w:val="00AE5A68"/>
    <w:rsid w:val="00AE7DA1"/>
    <w:rsid w:val="00AF1828"/>
    <w:rsid w:val="00AF2628"/>
    <w:rsid w:val="00AF2E64"/>
    <w:rsid w:val="00AF3A6F"/>
    <w:rsid w:val="00AF3C82"/>
    <w:rsid w:val="00AF5760"/>
    <w:rsid w:val="00AF5A94"/>
    <w:rsid w:val="00AF6272"/>
    <w:rsid w:val="00AF7F23"/>
    <w:rsid w:val="00B0166B"/>
    <w:rsid w:val="00B01AE7"/>
    <w:rsid w:val="00B02A9D"/>
    <w:rsid w:val="00B03A09"/>
    <w:rsid w:val="00B03DE8"/>
    <w:rsid w:val="00B04D0E"/>
    <w:rsid w:val="00B0522A"/>
    <w:rsid w:val="00B05B85"/>
    <w:rsid w:val="00B06EA1"/>
    <w:rsid w:val="00B109C3"/>
    <w:rsid w:val="00B1236D"/>
    <w:rsid w:val="00B14D8C"/>
    <w:rsid w:val="00B163BF"/>
    <w:rsid w:val="00B16B53"/>
    <w:rsid w:val="00B200DA"/>
    <w:rsid w:val="00B207B4"/>
    <w:rsid w:val="00B21297"/>
    <w:rsid w:val="00B24110"/>
    <w:rsid w:val="00B24AAD"/>
    <w:rsid w:val="00B26313"/>
    <w:rsid w:val="00B312D0"/>
    <w:rsid w:val="00B32D73"/>
    <w:rsid w:val="00B34CFD"/>
    <w:rsid w:val="00B35EC3"/>
    <w:rsid w:val="00B37732"/>
    <w:rsid w:val="00B4254B"/>
    <w:rsid w:val="00B47639"/>
    <w:rsid w:val="00B47A1F"/>
    <w:rsid w:val="00B50345"/>
    <w:rsid w:val="00B51711"/>
    <w:rsid w:val="00B5227D"/>
    <w:rsid w:val="00B53694"/>
    <w:rsid w:val="00B536FD"/>
    <w:rsid w:val="00B541EF"/>
    <w:rsid w:val="00B54431"/>
    <w:rsid w:val="00B57E5D"/>
    <w:rsid w:val="00B60258"/>
    <w:rsid w:val="00B60DF3"/>
    <w:rsid w:val="00B61109"/>
    <w:rsid w:val="00B64A74"/>
    <w:rsid w:val="00B700BC"/>
    <w:rsid w:val="00B74CE1"/>
    <w:rsid w:val="00B75213"/>
    <w:rsid w:val="00B7566E"/>
    <w:rsid w:val="00B81144"/>
    <w:rsid w:val="00B82B74"/>
    <w:rsid w:val="00B83ECB"/>
    <w:rsid w:val="00B85464"/>
    <w:rsid w:val="00B947AE"/>
    <w:rsid w:val="00BA0463"/>
    <w:rsid w:val="00BA08A3"/>
    <w:rsid w:val="00BA1B05"/>
    <w:rsid w:val="00BA3F0E"/>
    <w:rsid w:val="00BA6687"/>
    <w:rsid w:val="00BA7FD3"/>
    <w:rsid w:val="00BB024F"/>
    <w:rsid w:val="00BB1AB3"/>
    <w:rsid w:val="00BB1D18"/>
    <w:rsid w:val="00BB2A54"/>
    <w:rsid w:val="00BB2B9A"/>
    <w:rsid w:val="00BB2C13"/>
    <w:rsid w:val="00BB4398"/>
    <w:rsid w:val="00BB5AE1"/>
    <w:rsid w:val="00BB604A"/>
    <w:rsid w:val="00BB7943"/>
    <w:rsid w:val="00BB7FB3"/>
    <w:rsid w:val="00BC2FAC"/>
    <w:rsid w:val="00BC3585"/>
    <w:rsid w:val="00BC5066"/>
    <w:rsid w:val="00BC554A"/>
    <w:rsid w:val="00BC6977"/>
    <w:rsid w:val="00BD0641"/>
    <w:rsid w:val="00BD0C0E"/>
    <w:rsid w:val="00BD1CC5"/>
    <w:rsid w:val="00BE1267"/>
    <w:rsid w:val="00BE1C69"/>
    <w:rsid w:val="00BE325E"/>
    <w:rsid w:val="00BE3503"/>
    <w:rsid w:val="00BE77D4"/>
    <w:rsid w:val="00BF191F"/>
    <w:rsid w:val="00BF1A5D"/>
    <w:rsid w:val="00BF558C"/>
    <w:rsid w:val="00BF5E6B"/>
    <w:rsid w:val="00BF7D85"/>
    <w:rsid w:val="00C014EE"/>
    <w:rsid w:val="00C0158F"/>
    <w:rsid w:val="00C030ED"/>
    <w:rsid w:val="00C03AB1"/>
    <w:rsid w:val="00C0465B"/>
    <w:rsid w:val="00C05F5D"/>
    <w:rsid w:val="00C062EB"/>
    <w:rsid w:val="00C076B8"/>
    <w:rsid w:val="00C079CF"/>
    <w:rsid w:val="00C07F15"/>
    <w:rsid w:val="00C10567"/>
    <w:rsid w:val="00C11B2C"/>
    <w:rsid w:val="00C15756"/>
    <w:rsid w:val="00C16454"/>
    <w:rsid w:val="00C16C38"/>
    <w:rsid w:val="00C16EF3"/>
    <w:rsid w:val="00C1766B"/>
    <w:rsid w:val="00C21EA2"/>
    <w:rsid w:val="00C240F6"/>
    <w:rsid w:val="00C2419E"/>
    <w:rsid w:val="00C32771"/>
    <w:rsid w:val="00C33FCF"/>
    <w:rsid w:val="00C34292"/>
    <w:rsid w:val="00C345D6"/>
    <w:rsid w:val="00C34688"/>
    <w:rsid w:val="00C356A2"/>
    <w:rsid w:val="00C361D9"/>
    <w:rsid w:val="00C377BC"/>
    <w:rsid w:val="00C379B3"/>
    <w:rsid w:val="00C4054E"/>
    <w:rsid w:val="00C41983"/>
    <w:rsid w:val="00C425D0"/>
    <w:rsid w:val="00C42708"/>
    <w:rsid w:val="00C47775"/>
    <w:rsid w:val="00C47BB7"/>
    <w:rsid w:val="00C50048"/>
    <w:rsid w:val="00C5068A"/>
    <w:rsid w:val="00C51102"/>
    <w:rsid w:val="00C52386"/>
    <w:rsid w:val="00C52FE6"/>
    <w:rsid w:val="00C540D2"/>
    <w:rsid w:val="00C56FB3"/>
    <w:rsid w:val="00C57147"/>
    <w:rsid w:val="00C63430"/>
    <w:rsid w:val="00C64967"/>
    <w:rsid w:val="00C64B41"/>
    <w:rsid w:val="00C70EEE"/>
    <w:rsid w:val="00C72F53"/>
    <w:rsid w:val="00C73C22"/>
    <w:rsid w:val="00C75192"/>
    <w:rsid w:val="00C75635"/>
    <w:rsid w:val="00C774D1"/>
    <w:rsid w:val="00C85D35"/>
    <w:rsid w:val="00C942C1"/>
    <w:rsid w:val="00C958DD"/>
    <w:rsid w:val="00C96112"/>
    <w:rsid w:val="00CA124F"/>
    <w:rsid w:val="00CA1DD1"/>
    <w:rsid w:val="00CA4F80"/>
    <w:rsid w:val="00CA5F80"/>
    <w:rsid w:val="00CA7D51"/>
    <w:rsid w:val="00CB2225"/>
    <w:rsid w:val="00CB3919"/>
    <w:rsid w:val="00CB3DAC"/>
    <w:rsid w:val="00CB6A40"/>
    <w:rsid w:val="00CB6B39"/>
    <w:rsid w:val="00CB6B9F"/>
    <w:rsid w:val="00CB6ED1"/>
    <w:rsid w:val="00CC1571"/>
    <w:rsid w:val="00CC17C7"/>
    <w:rsid w:val="00CC2357"/>
    <w:rsid w:val="00CC4282"/>
    <w:rsid w:val="00CC6839"/>
    <w:rsid w:val="00CC70F8"/>
    <w:rsid w:val="00CD1AFB"/>
    <w:rsid w:val="00CD2503"/>
    <w:rsid w:val="00CD46DB"/>
    <w:rsid w:val="00CD4C5C"/>
    <w:rsid w:val="00CD5CA2"/>
    <w:rsid w:val="00CD5DE3"/>
    <w:rsid w:val="00CD6133"/>
    <w:rsid w:val="00CD70EB"/>
    <w:rsid w:val="00CE1B93"/>
    <w:rsid w:val="00CE246B"/>
    <w:rsid w:val="00CE5E59"/>
    <w:rsid w:val="00CF096A"/>
    <w:rsid w:val="00CF220B"/>
    <w:rsid w:val="00CF309D"/>
    <w:rsid w:val="00CF342C"/>
    <w:rsid w:val="00CF4E45"/>
    <w:rsid w:val="00CF56E5"/>
    <w:rsid w:val="00CF78E2"/>
    <w:rsid w:val="00D01C59"/>
    <w:rsid w:val="00D04F3C"/>
    <w:rsid w:val="00D108D8"/>
    <w:rsid w:val="00D10A0F"/>
    <w:rsid w:val="00D10CA4"/>
    <w:rsid w:val="00D13032"/>
    <w:rsid w:val="00D144B8"/>
    <w:rsid w:val="00D16F17"/>
    <w:rsid w:val="00D207D9"/>
    <w:rsid w:val="00D20A35"/>
    <w:rsid w:val="00D27684"/>
    <w:rsid w:val="00D27738"/>
    <w:rsid w:val="00D30A28"/>
    <w:rsid w:val="00D312FB"/>
    <w:rsid w:val="00D335AC"/>
    <w:rsid w:val="00D336A7"/>
    <w:rsid w:val="00D36647"/>
    <w:rsid w:val="00D374F0"/>
    <w:rsid w:val="00D40AF2"/>
    <w:rsid w:val="00D43DD7"/>
    <w:rsid w:val="00D44DD7"/>
    <w:rsid w:val="00D517D7"/>
    <w:rsid w:val="00D55301"/>
    <w:rsid w:val="00D56F8F"/>
    <w:rsid w:val="00D5783E"/>
    <w:rsid w:val="00D57DA6"/>
    <w:rsid w:val="00D60D16"/>
    <w:rsid w:val="00D63B1E"/>
    <w:rsid w:val="00D6561A"/>
    <w:rsid w:val="00D67631"/>
    <w:rsid w:val="00D67AA9"/>
    <w:rsid w:val="00D74B2E"/>
    <w:rsid w:val="00D76399"/>
    <w:rsid w:val="00D76BFC"/>
    <w:rsid w:val="00D773B6"/>
    <w:rsid w:val="00D81FF3"/>
    <w:rsid w:val="00D82A23"/>
    <w:rsid w:val="00D8411C"/>
    <w:rsid w:val="00D84ABC"/>
    <w:rsid w:val="00D84D5F"/>
    <w:rsid w:val="00D85221"/>
    <w:rsid w:val="00D85639"/>
    <w:rsid w:val="00D8633D"/>
    <w:rsid w:val="00D933BF"/>
    <w:rsid w:val="00D93D16"/>
    <w:rsid w:val="00D94661"/>
    <w:rsid w:val="00D955C0"/>
    <w:rsid w:val="00DA054A"/>
    <w:rsid w:val="00DA19D1"/>
    <w:rsid w:val="00DA6461"/>
    <w:rsid w:val="00DA6B74"/>
    <w:rsid w:val="00DA6BC7"/>
    <w:rsid w:val="00DB26DE"/>
    <w:rsid w:val="00DB2A73"/>
    <w:rsid w:val="00DB454B"/>
    <w:rsid w:val="00DB4B27"/>
    <w:rsid w:val="00DB582B"/>
    <w:rsid w:val="00DB5AA2"/>
    <w:rsid w:val="00DB60A6"/>
    <w:rsid w:val="00DC0C56"/>
    <w:rsid w:val="00DC14AE"/>
    <w:rsid w:val="00DC4403"/>
    <w:rsid w:val="00DC7832"/>
    <w:rsid w:val="00DD05EC"/>
    <w:rsid w:val="00DD13D5"/>
    <w:rsid w:val="00DD2C1C"/>
    <w:rsid w:val="00DD6022"/>
    <w:rsid w:val="00DD6D46"/>
    <w:rsid w:val="00DE23E3"/>
    <w:rsid w:val="00DE28F1"/>
    <w:rsid w:val="00DE4957"/>
    <w:rsid w:val="00DE4AF6"/>
    <w:rsid w:val="00DE4FC6"/>
    <w:rsid w:val="00DE5C48"/>
    <w:rsid w:val="00DE7DF5"/>
    <w:rsid w:val="00DF2AC9"/>
    <w:rsid w:val="00E00D37"/>
    <w:rsid w:val="00E0114E"/>
    <w:rsid w:val="00E015E4"/>
    <w:rsid w:val="00E02BD4"/>
    <w:rsid w:val="00E03B89"/>
    <w:rsid w:val="00E04DF9"/>
    <w:rsid w:val="00E0677D"/>
    <w:rsid w:val="00E06E03"/>
    <w:rsid w:val="00E07923"/>
    <w:rsid w:val="00E07ECB"/>
    <w:rsid w:val="00E10BD4"/>
    <w:rsid w:val="00E11184"/>
    <w:rsid w:val="00E123CD"/>
    <w:rsid w:val="00E131B5"/>
    <w:rsid w:val="00E1477D"/>
    <w:rsid w:val="00E21619"/>
    <w:rsid w:val="00E21A6A"/>
    <w:rsid w:val="00E23F20"/>
    <w:rsid w:val="00E24A69"/>
    <w:rsid w:val="00E24D34"/>
    <w:rsid w:val="00E257C3"/>
    <w:rsid w:val="00E257E9"/>
    <w:rsid w:val="00E269EA"/>
    <w:rsid w:val="00E31268"/>
    <w:rsid w:val="00E336EB"/>
    <w:rsid w:val="00E34BA7"/>
    <w:rsid w:val="00E41E51"/>
    <w:rsid w:val="00E42ED9"/>
    <w:rsid w:val="00E47C78"/>
    <w:rsid w:val="00E519A6"/>
    <w:rsid w:val="00E571E6"/>
    <w:rsid w:val="00E57AFB"/>
    <w:rsid w:val="00E602F1"/>
    <w:rsid w:val="00E607DF"/>
    <w:rsid w:val="00E61FFC"/>
    <w:rsid w:val="00E62F04"/>
    <w:rsid w:val="00E63D34"/>
    <w:rsid w:val="00E6403F"/>
    <w:rsid w:val="00E64526"/>
    <w:rsid w:val="00E666A1"/>
    <w:rsid w:val="00E67F6D"/>
    <w:rsid w:val="00E70D2D"/>
    <w:rsid w:val="00E72E29"/>
    <w:rsid w:val="00E759D4"/>
    <w:rsid w:val="00E76EB9"/>
    <w:rsid w:val="00E771B1"/>
    <w:rsid w:val="00E777C3"/>
    <w:rsid w:val="00E77B09"/>
    <w:rsid w:val="00E77BA0"/>
    <w:rsid w:val="00E8192F"/>
    <w:rsid w:val="00E83C06"/>
    <w:rsid w:val="00E84344"/>
    <w:rsid w:val="00E869BB"/>
    <w:rsid w:val="00E86B74"/>
    <w:rsid w:val="00E952E7"/>
    <w:rsid w:val="00EA3642"/>
    <w:rsid w:val="00EA5813"/>
    <w:rsid w:val="00EA63B2"/>
    <w:rsid w:val="00EA7187"/>
    <w:rsid w:val="00EA7602"/>
    <w:rsid w:val="00EA7894"/>
    <w:rsid w:val="00EA78B3"/>
    <w:rsid w:val="00EB0ED9"/>
    <w:rsid w:val="00EB271D"/>
    <w:rsid w:val="00EB5C26"/>
    <w:rsid w:val="00EB66D9"/>
    <w:rsid w:val="00EB6CF0"/>
    <w:rsid w:val="00EB78D4"/>
    <w:rsid w:val="00EB7DCB"/>
    <w:rsid w:val="00EC1C12"/>
    <w:rsid w:val="00EC5780"/>
    <w:rsid w:val="00EC6449"/>
    <w:rsid w:val="00EC6462"/>
    <w:rsid w:val="00EC6709"/>
    <w:rsid w:val="00ED40B3"/>
    <w:rsid w:val="00ED522A"/>
    <w:rsid w:val="00ED55ED"/>
    <w:rsid w:val="00ED61B0"/>
    <w:rsid w:val="00EE1498"/>
    <w:rsid w:val="00EE26DE"/>
    <w:rsid w:val="00EE2FF4"/>
    <w:rsid w:val="00EE375D"/>
    <w:rsid w:val="00EE564A"/>
    <w:rsid w:val="00EE5F27"/>
    <w:rsid w:val="00EE62CD"/>
    <w:rsid w:val="00EF0DC7"/>
    <w:rsid w:val="00EF3298"/>
    <w:rsid w:val="00F02F73"/>
    <w:rsid w:val="00F056E5"/>
    <w:rsid w:val="00F062C0"/>
    <w:rsid w:val="00F070C6"/>
    <w:rsid w:val="00F11300"/>
    <w:rsid w:val="00F12CF5"/>
    <w:rsid w:val="00F14302"/>
    <w:rsid w:val="00F15316"/>
    <w:rsid w:val="00F16772"/>
    <w:rsid w:val="00F170D5"/>
    <w:rsid w:val="00F178B8"/>
    <w:rsid w:val="00F2041B"/>
    <w:rsid w:val="00F241C3"/>
    <w:rsid w:val="00F2496C"/>
    <w:rsid w:val="00F24994"/>
    <w:rsid w:val="00F25464"/>
    <w:rsid w:val="00F2573A"/>
    <w:rsid w:val="00F27FE9"/>
    <w:rsid w:val="00F3022A"/>
    <w:rsid w:val="00F3659B"/>
    <w:rsid w:val="00F37703"/>
    <w:rsid w:val="00F41ED7"/>
    <w:rsid w:val="00F41EEF"/>
    <w:rsid w:val="00F42468"/>
    <w:rsid w:val="00F434F6"/>
    <w:rsid w:val="00F43B09"/>
    <w:rsid w:val="00F44884"/>
    <w:rsid w:val="00F45C9B"/>
    <w:rsid w:val="00F45FEA"/>
    <w:rsid w:val="00F469CD"/>
    <w:rsid w:val="00F47005"/>
    <w:rsid w:val="00F4702E"/>
    <w:rsid w:val="00F50B84"/>
    <w:rsid w:val="00F521CD"/>
    <w:rsid w:val="00F53228"/>
    <w:rsid w:val="00F5402B"/>
    <w:rsid w:val="00F540A4"/>
    <w:rsid w:val="00F546C3"/>
    <w:rsid w:val="00F55319"/>
    <w:rsid w:val="00F56D62"/>
    <w:rsid w:val="00F57261"/>
    <w:rsid w:val="00F57BF3"/>
    <w:rsid w:val="00F609FE"/>
    <w:rsid w:val="00F66F47"/>
    <w:rsid w:val="00F7180F"/>
    <w:rsid w:val="00F72121"/>
    <w:rsid w:val="00F7489F"/>
    <w:rsid w:val="00F76004"/>
    <w:rsid w:val="00F8204E"/>
    <w:rsid w:val="00F827AD"/>
    <w:rsid w:val="00F83276"/>
    <w:rsid w:val="00F8343A"/>
    <w:rsid w:val="00F847BD"/>
    <w:rsid w:val="00F8551D"/>
    <w:rsid w:val="00F865BB"/>
    <w:rsid w:val="00F86E35"/>
    <w:rsid w:val="00F907FB"/>
    <w:rsid w:val="00F939AE"/>
    <w:rsid w:val="00FA0E52"/>
    <w:rsid w:val="00FA2053"/>
    <w:rsid w:val="00FA21AC"/>
    <w:rsid w:val="00FA2F66"/>
    <w:rsid w:val="00FA4EBA"/>
    <w:rsid w:val="00FB2FD7"/>
    <w:rsid w:val="00FB474C"/>
    <w:rsid w:val="00FB587B"/>
    <w:rsid w:val="00FC0648"/>
    <w:rsid w:val="00FC1596"/>
    <w:rsid w:val="00FC21F7"/>
    <w:rsid w:val="00FC367F"/>
    <w:rsid w:val="00FC482B"/>
    <w:rsid w:val="00FC5E43"/>
    <w:rsid w:val="00FD2B68"/>
    <w:rsid w:val="00FE06F1"/>
    <w:rsid w:val="00FE0AC0"/>
    <w:rsid w:val="00FE2963"/>
    <w:rsid w:val="00FE4211"/>
    <w:rsid w:val="00FE4A41"/>
    <w:rsid w:val="00FE4CA8"/>
    <w:rsid w:val="00FE535B"/>
    <w:rsid w:val="00FE72FE"/>
    <w:rsid w:val="00FE7A69"/>
    <w:rsid w:val="00FE7FD4"/>
    <w:rsid w:val="00FF2ADF"/>
    <w:rsid w:val="00FF3A87"/>
    <w:rsid w:val="00FF4180"/>
    <w:rsid w:val="00FF564C"/>
    <w:rsid w:val="00FF6994"/>
    <w:rsid w:val="06EF07DA"/>
    <w:rsid w:val="1F8DF0C2"/>
    <w:rsid w:val="36A62878"/>
    <w:rsid w:val="52A421B3"/>
    <w:rsid w:val="6A421620"/>
    <w:rsid w:val="6DAF35A0"/>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0250D"/>
  <w15:chartTrackingRefBased/>
  <w15:docId w15:val="{6E6446C8-B055-44BD-A0FF-F0AF0C1D9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aliases w:val="1,Heading 1 Char1 Char,Heading 1 Char Char Char,Heading 1 Char1 Char Char Char,Heading 1 Char Char Char Char Char,Heading 1 Char1 Char Char Char Char Char,Heading 1 Char Char Char Char Char Char Char,Heading 1 Char1 Char1"/>
    <w:basedOn w:val="Normal"/>
    <w:next w:val="Normal"/>
    <w:link w:val="Heading1Char"/>
    <w:uiPriority w:val="9"/>
    <w:qFormat/>
    <w:rsid w:val="00D130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SubHeading"/>
    <w:basedOn w:val="Normal"/>
    <w:next w:val="Normal"/>
    <w:link w:val="Heading2Char"/>
    <w:uiPriority w:val="9"/>
    <w:unhideWhenUsed/>
    <w:qFormat/>
    <w:rsid w:val="00D130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130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130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30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30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30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30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30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Heading 1 Char1 Char Char,Heading 1 Char Char Char Char,Heading 1 Char1 Char Char Char Char,Heading 1 Char Char Char Char Char Char,Heading 1 Char1 Char Char Char Char Char Char,Heading 1 Char Char Char Char Char Char Char Char"/>
    <w:basedOn w:val="DefaultParagraphFont"/>
    <w:link w:val="Heading1"/>
    <w:uiPriority w:val="9"/>
    <w:rsid w:val="00D13032"/>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SubHeading Char"/>
    <w:basedOn w:val="DefaultParagraphFont"/>
    <w:link w:val="Heading2"/>
    <w:uiPriority w:val="9"/>
    <w:rsid w:val="00D130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130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130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30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30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30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30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3032"/>
    <w:rPr>
      <w:rFonts w:eastAsiaTheme="majorEastAsia" w:cstheme="majorBidi"/>
      <w:color w:val="272727" w:themeColor="text1" w:themeTint="D8"/>
    </w:rPr>
  </w:style>
  <w:style w:type="paragraph" w:styleId="Title">
    <w:name w:val="Title"/>
    <w:basedOn w:val="Normal"/>
    <w:next w:val="Normal"/>
    <w:link w:val="TitleChar"/>
    <w:uiPriority w:val="1"/>
    <w:qFormat/>
    <w:rsid w:val="00D130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rsid w:val="00D130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30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30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3032"/>
    <w:pPr>
      <w:spacing w:before="160"/>
      <w:jc w:val="center"/>
    </w:pPr>
    <w:rPr>
      <w:i/>
      <w:iCs/>
      <w:color w:val="404040" w:themeColor="text1" w:themeTint="BF"/>
    </w:rPr>
  </w:style>
  <w:style w:type="character" w:customStyle="1" w:styleId="QuoteChar">
    <w:name w:val="Quote Char"/>
    <w:basedOn w:val="DefaultParagraphFont"/>
    <w:link w:val="Quote"/>
    <w:uiPriority w:val="29"/>
    <w:rsid w:val="00D13032"/>
    <w:rPr>
      <w:i/>
      <w:iCs/>
      <w:color w:val="404040" w:themeColor="text1" w:themeTint="BF"/>
    </w:rPr>
  </w:style>
  <w:style w:type="paragraph" w:styleId="ListParagraph">
    <w:name w:val="List Paragraph"/>
    <w:basedOn w:val="Normal"/>
    <w:uiPriority w:val="34"/>
    <w:qFormat/>
    <w:rsid w:val="00D13032"/>
    <w:pPr>
      <w:ind w:left="720"/>
      <w:contextualSpacing/>
    </w:pPr>
  </w:style>
  <w:style w:type="character" w:styleId="IntenseEmphasis">
    <w:name w:val="Intense Emphasis"/>
    <w:basedOn w:val="DefaultParagraphFont"/>
    <w:uiPriority w:val="21"/>
    <w:qFormat/>
    <w:rsid w:val="00D13032"/>
    <w:rPr>
      <w:i/>
      <w:iCs/>
      <w:color w:val="0F4761" w:themeColor="accent1" w:themeShade="BF"/>
    </w:rPr>
  </w:style>
  <w:style w:type="paragraph" w:styleId="IntenseQuote">
    <w:name w:val="Intense Quote"/>
    <w:basedOn w:val="Normal"/>
    <w:next w:val="Normal"/>
    <w:link w:val="IntenseQuoteChar"/>
    <w:uiPriority w:val="30"/>
    <w:qFormat/>
    <w:rsid w:val="00D130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3032"/>
    <w:rPr>
      <w:i/>
      <w:iCs/>
      <w:color w:val="0F4761" w:themeColor="accent1" w:themeShade="BF"/>
    </w:rPr>
  </w:style>
  <w:style w:type="character" w:styleId="IntenseReference">
    <w:name w:val="Intense Reference"/>
    <w:basedOn w:val="DefaultParagraphFont"/>
    <w:uiPriority w:val="32"/>
    <w:qFormat/>
    <w:rsid w:val="00D13032"/>
    <w:rPr>
      <w:b/>
      <w:bCs/>
      <w:smallCaps/>
      <w:color w:val="0F4761" w:themeColor="accent1" w:themeShade="BF"/>
      <w:spacing w:val="5"/>
    </w:rPr>
  </w:style>
  <w:style w:type="paragraph" w:styleId="NormalWeb">
    <w:name w:val="Normal (Web)"/>
    <w:basedOn w:val="Normal"/>
    <w:uiPriority w:val="99"/>
    <w:unhideWhenUsed/>
    <w:rsid w:val="00531E1C"/>
    <w:pPr>
      <w:spacing w:before="100" w:beforeAutospacing="1" w:after="100" w:afterAutospacing="1" w:line="240" w:lineRule="auto"/>
    </w:pPr>
    <w:rPr>
      <w:rFonts w:ascii="Times New Roman" w:eastAsia="Times New Roman" w:hAnsi="Times New Roman" w:cs="Times New Roman"/>
      <w:kern w:val="0"/>
      <w:lang w:val="fr-FR" w:eastAsia="fr-FR"/>
      <w14:ligatures w14:val="none"/>
    </w:rPr>
  </w:style>
  <w:style w:type="character" w:styleId="Strong">
    <w:name w:val="Strong"/>
    <w:basedOn w:val="DefaultParagraphFont"/>
    <w:uiPriority w:val="22"/>
    <w:qFormat/>
    <w:rsid w:val="00531E1C"/>
    <w:rPr>
      <w:b/>
      <w:bCs/>
    </w:rPr>
  </w:style>
  <w:style w:type="table" w:styleId="TableGrid">
    <w:name w:val="Table Grid"/>
    <w:basedOn w:val="TableNormal"/>
    <w:uiPriority w:val="39"/>
    <w:rsid w:val="00557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74C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4C03"/>
    <w:rPr>
      <w:sz w:val="20"/>
      <w:szCs w:val="20"/>
      <w:lang w:val="en-US"/>
    </w:rPr>
  </w:style>
  <w:style w:type="character" w:styleId="FootnoteReference">
    <w:name w:val="footnote reference"/>
    <w:basedOn w:val="DefaultParagraphFont"/>
    <w:uiPriority w:val="99"/>
    <w:semiHidden/>
    <w:unhideWhenUsed/>
    <w:rsid w:val="00774C03"/>
    <w:rPr>
      <w:vertAlign w:val="superscript"/>
    </w:rPr>
  </w:style>
  <w:style w:type="character" w:styleId="Hyperlink">
    <w:name w:val="Hyperlink"/>
    <w:basedOn w:val="DefaultParagraphFont"/>
    <w:uiPriority w:val="99"/>
    <w:unhideWhenUsed/>
    <w:rsid w:val="00774C03"/>
    <w:rPr>
      <w:color w:val="467886" w:themeColor="hyperlink"/>
      <w:u w:val="single"/>
    </w:rPr>
  </w:style>
  <w:style w:type="character" w:styleId="UnresolvedMention">
    <w:name w:val="Unresolved Mention"/>
    <w:basedOn w:val="DefaultParagraphFont"/>
    <w:uiPriority w:val="99"/>
    <w:semiHidden/>
    <w:unhideWhenUsed/>
    <w:rsid w:val="00774C03"/>
    <w:rPr>
      <w:color w:val="605E5C"/>
      <w:shd w:val="clear" w:color="auto" w:fill="E1DFDD"/>
    </w:rPr>
  </w:style>
  <w:style w:type="paragraph" w:styleId="Header">
    <w:name w:val="header"/>
    <w:basedOn w:val="Normal"/>
    <w:link w:val="HeaderChar"/>
    <w:uiPriority w:val="99"/>
    <w:unhideWhenUsed/>
    <w:rsid w:val="00AC02EB"/>
    <w:pPr>
      <w:tabs>
        <w:tab w:val="center" w:pos="4536"/>
        <w:tab w:val="right" w:pos="9072"/>
      </w:tabs>
      <w:spacing w:after="0" w:line="240" w:lineRule="auto"/>
    </w:pPr>
  </w:style>
  <w:style w:type="character" w:customStyle="1" w:styleId="HeaderChar">
    <w:name w:val="Header Char"/>
    <w:basedOn w:val="DefaultParagraphFont"/>
    <w:link w:val="Header"/>
    <w:uiPriority w:val="99"/>
    <w:rsid w:val="00AC02EB"/>
    <w:rPr>
      <w:lang w:val="en-US"/>
    </w:rPr>
  </w:style>
  <w:style w:type="paragraph" w:styleId="Footer">
    <w:name w:val="footer"/>
    <w:basedOn w:val="Normal"/>
    <w:link w:val="FooterChar"/>
    <w:uiPriority w:val="99"/>
    <w:unhideWhenUsed/>
    <w:rsid w:val="00AC02EB"/>
    <w:pPr>
      <w:tabs>
        <w:tab w:val="center" w:pos="4536"/>
        <w:tab w:val="right" w:pos="9072"/>
      </w:tabs>
      <w:spacing w:after="0" w:line="240" w:lineRule="auto"/>
    </w:pPr>
  </w:style>
  <w:style w:type="character" w:customStyle="1" w:styleId="FooterChar">
    <w:name w:val="Footer Char"/>
    <w:basedOn w:val="DefaultParagraphFont"/>
    <w:link w:val="Footer"/>
    <w:uiPriority w:val="99"/>
    <w:rsid w:val="00AC02EB"/>
    <w:rPr>
      <w:lang w:val="en-US"/>
    </w:rPr>
  </w:style>
  <w:style w:type="character" w:styleId="CommentReference">
    <w:name w:val="annotation reference"/>
    <w:basedOn w:val="DefaultParagraphFont"/>
    <w:uiPriority w:val="99"/>
    <w:semiHidden/>
    <w:unhideWhenUsed/>
    <w:rsid w:val="00B53694"/>
    <w:rPr>
      <w:sz w:val="16"/>
      <w:szCs w:val="16"/>
    </w:rPr>
  </w:style>
  <w:style w:type="paragraph" w:styleId="CommentText">
    <w:name w:val="annotation text"/>
    <w:basedOn w:val="Normal"/>
    <w:link w:val="CommentTextChar"/>
    <w:uiPriority w:val="99"/>
    <w:unhideWhenUsed/>
    <w:rsid w:val="00B53694"/>
    <w:pPr>
      <w:spacing w:line="240" w:lineRule="auto"/>
    </w:pPr>
    <w:rPr>
      <w:sz w:val="20"/>
      <w:szCs w:val="20"/>
    </w:rPr>
  </w:style>
  <w:style w:type="character" w:customStyle="1" w:styleId="CommentTextChar">
    <w:name w:val="Comment Text Char"/>
    <w:basedOn w:val="DefaultParagraphFont"/>
    <w:link w:val="CommentText"/>
    <w:uiPriority w:val="99"/>
    <w:rsid w:val="00B53694"/>
    <w:rPr>
      <w:sz w:val="20"/>
      <w:szCs w:val="20"/>
      <w:lang w:val="en-US"/>
    </w:rPr>
  </w:style>
  <w:style w:type="paragraph" w:styleId="CommentSubject">
    <w:name w:val="annotation subject"/>
    <w:basedOn w:val="CommentText"/>
    <w:next w:val="CommentText"/>
    <w:link w:val="CommentSubjectChar"/>
    <w:uiPriority w:val="99"/>
    <w:semiHidden/>
    <w:unhideWhenUsed/>
    <w:rsid w:val="00B53694"/>
    <w:rPr>
      <w:b/>
      <w:bCs/>
    </w:rPr>
  </w:style>
  <w:style w:type="character" w:customStyle="1" w:styleId="CommentSubjectChar">
    <w:name w:val="Comment Subject Char"/>
    <w:basedOn w:val="CommentTextChar"/>
    <w:link w:val="CommentSubject"/>
    <w:uiPriority w:val="99"/>
    <w:semiHidden/>
    <w:rsid w:val="00B53694"/>
    <w:rPr>
      <w:b/>
      <w:bCs/>
      <w:sz w:val="20"/>
      <w:szCs w:val="20"/>
      <w:lang w:val="en-US"/>
    </w:rPr>
  </w:style>
  <w:style w:type="paragraph" w:styleId="TOC1">
    <w:name w:val="toc 1"/>
    <w:aliases w:val="TM"/>
    <w:basedOn w:val="Normal"/>
    <w:next w:val="Normal"/>
    <w:autoRedefine/>
    <w:uiPriority w:val="39"/>
    <w:unhideWhenUsed/>
    <w:qFormat/>
    <w:rsid w:val="002E77A2"/>
    <w:pPr>
      <w:tabs>
        <w:tab w:val="left" w:pos="426"/>
        <w:tab w:val="right" w:leader="dot" w:pos="9338"/>
      </w:tabs>
      <w:spacing w:after="0" w:line="240" w:lineRule="auto"/>
    </w:pPr>
    <w:rPr>
      <w:rFonts w:ascii="Trebuchet MS" w:hAnsi="Trebuchet MS" w:cs="Calibri (Corps)"/>
      <w:b/>
      <w:bCs/>
      <w:caps/>
      <w:noProof/>
      <w:kern w:val="0"/>
      <w:sz w:val="20"/>
      <w:szCs w:val="20"/>
      <w:lang w:val="fr-FR"/>
    </w:rPr>
  </w:style>
  <w:style w:type="paragraph" w:styleId="TOC2">
    <w:name w:val="toc 2"/>
    <w:basedOn w:val="Normal"/>
    <w:next w:val="Normal"/>
    <w:autoRedefine/>
    <w:uiPriority w:val="39"/>
    <w:unhideWhenUsed/>
    <w:rsid w:val="002E77A2"/>
    <w:pPr>
      <w:spacing w:after="100" w:line="259" w:lineRule="auto"/>
      <w:ind w:left="220"/>
    </w:pPr>
    <w:rPr>
      <w:sz w:val="22"/>
      <w:szCs w:val="22"/>
      <w:lang w:val="fr-FR"/>
    </w:rPr>
  </w:style>
  <w:style w:type="character" w:styleId="PageNumber">
    <w:name w:val="page number"/>
    <w:basedOn w:val="DefaultParagraphFont"/>
    <w:uiPriority w:val="99"/>
    <w:unhideWhenUsed/>
    <w:rsid w:val="002E77A2"/>
  </w:style>
  <w:style w:type="paragraph" w:styleId="Revision">
    <w:name w:val="Revision"/>
    <w:hidden/>
    <w:uiPriority w:val="99"/>
    <w:semiHidden/>
    <w:rsid w:val="00464CCB"/>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301">
      <w:bodyDiv w:val="1"/>
      <w:marLeft w:val="0"/>
      <w:marRight w:val="0"/>
      <w:marTop w:val="0"/>
      <w:marBottom w:val="0"/>
      <w:divBdr>
        <w:top w:val="none" w:sz="0" w:space="0" w:color="auto"/>
        <w:left w:val="none" w:sz="0" w:space="0" w:color="auto"/>
        <w:bottom w:val="none" w:sz="0" w:space="0" w:color="auto"/>
        <w:right w:val="none" w:sz="0" w:space="0" w:color="auto"/>
      </w:divBdr>
    </w:div>
    <w:div w:id="7602983">
      <w:bodyDiv w:val="1"/>
      <w:marLeft w:val="0"/>
      <w:marRight w:val="0"/>
      <w:marTop w:val="0"/>
      <w:marBottom w:val="0"/>
      <w:divBdr>
        <w:top w:val="none" w:sz="0" w:space="0" w:color="auto"/>
        <w:left w:val="none" w:sz="0" w:space="0" w:color="auto"/>
        <w:bottom w:val="none" w:sz="0" w:space="0" w:color="auto"/>
        <w:right w:val="none" w:sz="0" w:space="0" w:color="auto"/>
      </w:divBdr>
    </w:div>
    <w:div w:id="10643124">
      <w:bodyDiv w:val="1"/>
      <w:marLeft w:val="0"/>
      <w:marRight w:val="0"/>
      <w:marTop w:val="0"/>
      <w:marBottom w:val="0"/>
      <w:divBdr>
        <w:top w:val="none" w:sz="0" w:space="0" w:color="auto"/>
        <w:left w:val="none" w:sz="0" w:space="0" w:color="auto"/>
        <w:bottom w:val="none" w:sz="0" w:space="0" w:color="auto"/>
        <w:right w:val="none" w:sz="0" w:space="0" w:color="auto"/>
      </w:divBdr>
    </w:div>
    <w:div w:id="12925736">
      <w:bodyDiv w:val="1"/>
      <w:marLeft w:val="0"/>
      <w:marRight w:val="0"/>
      <w:marTop w:val="0"/>
      <w:marBottom w:val="0"/>
      <w:divBdr>
        <w:top w:val="none" w:sz="0" w:space="0" w:color="auto"/>
        <w:left w:val="none" w:sz="0" w:space="0" w:color="auto"/>
        <w:bottom w:val="none" w:sz="0" w:space="0" w:color="auto"/>
        <w:right w:val="none" w:sz="0" w:space="0" w:color="auto"/>
      </w:divBdr>
    </w:div>
    <w:div w:id="13500853">
      <w:bodyDiv w:val="1"/>
      <w:marLeft w:val="0"/>
      <w:marRight w:val="0"/>
      <w:marTop w:val="0"/>
      <w:marBottom w:val="0"/>
      <w:divBdr>
        <w:top w:val="none" w:sz="0" w:space="0" w:color="auto"/>
        <w:left w:val="none" w:sz="0" w:space="0" w:color="auto"/>
        <w:bottom w:val="none" w:sz="0" w:space="0" w:color="auto"/>
        <w:right w:val="none" w:sz="0" w:space="0" w:color="auto"/>
      </w:divBdr>
    </w:div>
    <w:div w:id="17588622">
      <w:bodyDiv w:val="1"/>
      <w:marLeft w:val="0"/>
      <w:marRight w:val="0"/>
      <w:marTop w:val="0"/>
      <w:marBottom w:val="0"/>
      <w:divBdr>
        <w:top w:val="none" w:sz="0" w:space="0" w:color="auto"/>
        <w:left w:val="none" w:sz="0" w:space="0" w:color="auto"/>
        <w:bottom w:val="none" w:sz="0" w:space="0" w:color="auto"/>
        <w:right w:val="none" w:sz="0" w:space="0" w:color="auto"/>
      </w:divBdr>
    </w:div>
    <w:div w:id="23409578">
      <w:bodyDiv w:val="1"/>
      <w:marLeft w:val="0"/>
      <w:marRight w:val="0"/>
      <w:marTop w:val="0"/>
      <w:marBottom w:val="0"/>
      <w:divBdr>
        <w:top w:val="none" w:sz="0" w:space="0" w:color="auto"/>
        <w:left w:val="none" w:sz="0" w:space="0" w:color="auto"/>
        <w:bottom w:val="none" w:sz="0" w:space="0" w:color="auto"/>
        <w:right w:val="none" w:sz="0" w:space="0" w:color="auto"/>
      </w:divBdr>
    </w:div>
    <w:div w:id="25302960">
      <w:bodyDiv w:val="1"/>
      <w:marLeft w:val="0"/>
      <w:marRight w:val="0"/>
      <w:marTop w:val="0"/>
      <w:marBottom w:val="0"/>
      <w:divBdr>
        <w:top w:val="none" w:sz="0" w:space="0" w:color="auto"/>
        <w:left w:val="none" w:sz="0" w:space="0" w:color="auto"/>
        <w:bottom w:val="none" w:sz="0" w:space="0" w:color="auto"/>
        <w:right w:val="none" w:sz="0" w:space="0" w:color="auto"/>
      </w:divBdr>
    </w:div>
    <w:div w:id="26831689">
      <w:bodyDiv w:val="1"/>
      <w:marLeft w:val="0"/>
      <w:marRight w:val="0"/>
      <w:marTop w:val="0"/>
      <w:marBottom w:val="0"/>
      <w:divBdr>
        <w:top w:val="none" w:sz="0" w:space="0" w:color="auto"/>
        <w:left w:val="none" w:sz="0" w:space="0" w:color="auto"/>
        <w:bottom w:val="none" w:sz="0" w:space="0" w:color="auto"/>
        <w:right w:val="none" w:sz="0" w:space="0" w:color="auto"/>
      </w:divBdr>
    </w:div>
    <w:div w:id="35929957">
      <w:bodyDiv w:val="1"/>
      <w:marLeft w:val="0"/>
      <w:marRight w:val="0"/>
      <w:marTop w:val="0"/>
      <w:marBottom w:val="0"/>
      <w:divBdr>
        <w:top w:val="none" w:sz="0" w:space="0" w:color="auto"/>
        <w:left w:val="none" w:sz="0" w:space="0" w:color="auto"/>
        <w:bottom w:val="none" w:sz="0" w:space="0" w:color="auto"/>
        <w:right w:val="none" w:sz="0" w:space="0" w:color="auto"/>
      </w:divBdr>
    </w:div>
    <w:div w:id="45027945">
      <w:bodyDiv w:val="1"/>
      <w:marLeft w:val="0"/>
      <w:marRight w:val="0"/>
      <w:marTop w:val="0"/>
      <w:marBottom w:val="0"/>
      <w:divBdr>
        <w:top w:val="none" w:sz="0" w:space="0" w:color="auto"/>
        <w:left w:val="none" w:sz="0" w:space="0" w:color="auto"/>
        <w:bottom w:val="none" w:sz="0" w:space="0" w:color="auto"/>
        <w:right w:val="none" w:sz="0" w:space="0" w:color="auto"/>
      </w:divBdr>
    </w:div>
    <w:div w:id="45883525">
      <w:bodyDiv w:val="1"/>
      <w:marLeft w:val="0"/>
      <w:marRight w:val="0"/>
      <w:marTop w:val="0"/>
      <w:marBottom w:val="0"/>
      <w:divBdr>
        <w:top w:val="none" w:sz="0" w:space="0" w:color="auto"/>
        <w:left w:val="none" w:sz="0" w:space="0" w:color="auto"/>
        <w:bottom w:val="none" w:sz="0" w:space="0" w:color="auto"/>
        <w:right w:val="none" w:sz="0" w:space="0" w:color="auto"/>
      </w:divBdr>
    </w:div>
    <w:div w:id="46225822">
      <w:bodyDiv w:val="1"/>
      <w:marLeft w:val="0"/>
      <w:marRight w:val="0"/>
      <w:marTop w:val="0"/>
      <w:marBottom w:val="0"/>
      <w:divBdr>
        <w:top w:val="none" w:sz="0" w:space="0" w:color="auto"/>
        <w:left w:val="none" w:sz="0" w:space="0" w:color="auto"/>
        <w:bottom w:val="none" w:sz="0" w:space="0" w:color="auto"/>
        <w:right w:val="none" w:sz="0" w:space="0" w:color="auto"/>
      </w:divBdr>
    </w:div>
    <w:div w:id="48847866">
      <w:bodyDiv w:val="1"/>
      <w:marLeft w:val="0"/>
      <w:marRight w:val="0"/>
      <w:marTop w:val="0"/>
      <w:marBottom w:val="0"/>
      <w:divBdr>
        <w:top w:val="none" w:sz="0" w:space="0" w:color="auto"/>
        <w:left w:val="none" w:sz="0" w:space="0" w:color="auto"/>
        <w:bottom w:val="none" w:sz="0" w:space="0" w:color="auto"/>
        <w:right w:val="none" w:sz="0" w:space="0" w:color="auto"/>
      </w:divBdr>
    </w:div>
    <w:div w:id="50158735">
      <w:bodyDiv w:val="1"/>
      <w:marLeft w:val="0"/>
      <w:marRight w:val="0"/>
      <w:marTop w:val="0"/>
      <w:marBottom w:val="0"/>
      <w:divBdr>
        <w:top w:val="none" w:sz="0" w:space="0" w:color="auto"/>
        <w:left w:val="none" w:sz="0" w:space="0" w:color="auto"/>
        <w:bottom w:val="none" w:sz="0" w:space="0" w:color="auto"/>
        <w:right w:val="none" w:sz="0" w:space="0" w:color="auto"/>
      </w:divBdr>
    </w:div>
    <w:div w:id="53509149">
      <w:bodyDiv w:val="1"/>
      <w:marLeft w:val="0"/>
      <w:marRight w:val="0"/>
      <w:marTop w:val="0"/>
      <w:marBottom w:val="0"/>
      <w:divBdr>
        <w:top w:val="none" w:sz="0" w:space="0" w:color="auto"/>
        <w:left w:val="none" w:sz="0" w:space="0" w:color="auto"/>
        <w:bottom w:val="none" w:sz="0" w:space="0" w:color="auto"/>
        <w:right w:val="none" w:sz="0" w:space="0" w:color="auto"/>
      </w:divBdr>
    </w:div>
    <w:div w:id="68696224">
      <w:bodyDiv w:val="1"/>
      <w:marLeft w:val="0"/>
      <w:marRight w:val="0"/>
      <w:marTop w:val="0"/>
      <w:marBottom w:val="0"/>
      <w:divBdr>
        <w:top w:val="none" w:sz="0" w:space="0" w:color="auto"/>
        <w:left w:val="none" w:sz="0" w:space="0" w:color="auto"/>
        <w:bottom w:val="none" w:sz="0" w:space="0" w:color="auto"/>
        <w:right w:val="none" w:sz="0" w:space="0" w:color="auto"/>
      </w:divBdr>
    </w:div>
    <w:div w:id="76632042">
      <w:bodyDiv w:val="1"/>
      <w:marLeft w:val="0"/>
      <w:marRight w:val="0"/>
      <w:marTop w:val="0"/>
      <w:marBottom w:val="0"/>
      <w:divBdr>
        <w:top w:val="none" w:sz="0" w:space="0" w:color="auto"/>
        <w:left w:val="none" w:sz="0" w:space="0" w:color="auto"/>
        <w:bottom w:val="none" w:sz="0" w:space="0" w:color="auto"/>
        <w:right w:val="none" w:sz="0" w:space="0" w:color="auto"/>
      </w:divBdr>
    </w:div>
    <w:div w:id="80831793">
      <w:bodyDiv w:val="1"/>
      <w:marLeft w:val="0"/>
      <w:marRight w:val="0"/>
      <w:marTop w:val="0"/>
      <w:marBottom w:val="0"/>
      <w:divBdr>
        <w:top w:val="none" w:sz="0" w:space="0" w:color="auto"/>
        <w:left w:val="none" w:sz="0" w:space="0" w:color="auto"/>
        <w:bottom w:val="none" w:sz="0" w:space="0" w:color="auto"/>
        <w:right w:val="none" w:sz="0" w:space="0" w:color="auto"/>
      </w:divBdr>
    </w:div>
    <w:div w:id="84351778">
      <w:bodyDiv w:val="1"/>
      <w:marLeft w:val="0"/>
      <w:marRight w:val="0"/>
      <w:marTop w:val="0"/>
      <w:marBottom w:val="0"/>
      <w:divBdr>
        <w:top w:val="none" w:sz="0" w:space="0" w:color="auto"/>
        <w:left w:val="none" w:sz="0" w:space="0" w:color="auto"/>
        <w:bottom w:val="none" w:sz="0" w:space="0" w:color="auto"/>
        <w:right w:val="none" w:sz="0" w:space="0" w:color="auto"/>
      </w:divBdr>
    </w:div>
    <w:div w:id="106122560">
      <w:bodyDiv w:val="1"/>
      <w:marLeft w:val="0"/>
      <w:marRight w:val="0"/>
      <w:marTop w:val="0"/>
      <w:marBottom w:val="0"/>
      <w:divBdr>
        <w:top w:val="none" w:sz="0" w:space="0" w:color="auto"/>
        <w:left w:val="none" w:sz="0" w:space="0" w:color="auto"/>
        <w:bottom w:val="none" w:sz="0" w:space="0" w:color="auto"/>
        <w:right w:val="none" w:sz="0" w:space="0" w:color="auto"/>
      </w:divBdr>
    </w:div>
    <w:div w:id="109520255">
      <w:bodyDiv w:val="1"/>
      <w:marLeft w:val="0"/>
      <w:marRight w:val="0"/>
      <w:marTop w:val="0"/>
      <w:marBottom w:val="0"/>
      <w:divBdr>
        <w:top w:val="none" w:sz="0" w:space="0" w:color="auto"/>
        <w:left w:val="none" w:sz="0" w:space="0" w:color="auto"/>
        <w:bottom w:val="none" w:sz="0" w:space="0" w:color="auto"/>
        <w:right w:val="none" w:sz="0" w:space="0" w:color="auto"/>
      </w:divBdr>
    </w:div>
    <w:div w:id="137891655">
      <w:bodyDiv w:val="1"/>
      <w:marLeft w:val="0"/>
      <w:marRight w:val="0"/>
      <w:marTop w:val="0"/>
      <w:marBottom w:val="0"/>
      <w:divBdr>
        <w:top w:val="none" w:sz="0" w:space="0" w:color="auto"/>
        <w:left w:val="none" w:sz="0" w:space="0" w:color="auto"/>
        <w:bottom w:val="none" w:sz="0" w:space="0" w:color="auto"/>
        <w:right w:val="none" w:sz="0" w:space="0" w:color="auto"/>
      </w:divBdr>
    </w:div>
    <w:div w:id="142815610">
      <w:bodyDiv w:val="1"/>
      <w:marLeft w:val="0"/>
      <w:marRight w:val="0"/>
      <w:marTop w:val="0"/>
      <w:marBottom w:val="0"/>
      <w:divBdr>
        <w:top w:val="none" w:sz="0" w:space="0" w:color="auto"/>
        <w:left w:val="none" w:sz="0" w:space="0" w:color="auto"/>
        <w:bottom w:val="none" w:sz="0" w:space="0" w:color="auto"/>
        <w:right w:val="none" w:sz="0" w:space="0" w:color="auto"/>
      </w:divBdr>
    </w:div>
    <w:div w:id="149491925">
      <w:bodyDiv w:val="1"/>
      <w:marLeft w:val="0"/>
      <w:marRight w:val="0"/>
      <w:marTop w:val="0"/>
      <w:marBottom w:val="0"/>
      <w:divBdr>
        <w:top w:val="none" w:sz="0" w:space="0" w:color="auto"/>
        <w:left w:val="none" w:sz="0" w:space="0" w:color="auto"/>
        <w:bottom w:val="none" w:sz="0" w:space="0" w:color="auto"/>
        <w:right w:val="none" w:sz="0" w:space="0" w:color="auto"/>
      </w:divBdr>
    </w:div>
    <w:div w:id="151676873">
      <w:bodyDiv w:val="1"/>
      <w:marLeft w:val="0"/>
      <w:marRight w:val="0"/>
      <w:marTop w:val="0"/>
      <w:marBottom w:val="0"/>
      <w:divBdr>
        <w:top w:val="none" w:sz="0" w:space="0" w:color="auto"/>
        <w:left w:val="none" w:sz="0" w:space="0" w:color="auto"/>
        <w:bottom w:val="none" w:sz="0" w:space="0" w:color="auto"/>
        <w:right w:val="none" w:sz="0" w:space="0" w:color="auto"/>
      </w:divBdr>
    </w:div>
    <w:div w:id="166487064">
      <w:bodyDiv w:val="1"/>
      <w:marLeft w:val="0"/>
      <w:marRight w:val="0"/>
      <w:marTop w:val="0"/>
      <w:marBottom w:val="0"/>
      <w:divBdr>
        <w:top w:val="none" w:sz="0" w:space="0" w:color="auto"/>
        <w:left w:val="none" w:sz="0" w:space="0" w:color="auto"/>
        <w:bottom w:val="none" w:sz="0" w:space="0" w:color="auto"/>
        <w:right w:val="none" w:sz="0" w:space="0" w:color="auto"/>
      </w:divBdr>
    </w:div>
    <w:div w:id="167595562">
      <w:bodyDiv w:val="1"/>
      <w:marLeft w:val="0"/>
      <w:marRight w:val="0"/>
      <w:marTop w:val="0"/>
      <w:marBottom w:val="0"/>
      <w:divBdr>
        <w:top w:val="none" w:sz="0" w:space="0" w:color="auto"/>
        <w:left w:val="none" w:sz="0" w:space="0" w:color="auto"/>
        <w:bottom w:val="none" w:sz="0" w:space="0" w:color="auto"/>
        <w:right w:val="none" w:sz="0" w:space="0" w:color="auto"/>
      </w:divBdr>
    </w:div>
    <w:div w:id="168956048">
      <w:bodyDiv w:val="1"/>
      <w:marLeft w:val="0"/>
      <w:marRight w:val="0"/>
      <w:marTop w:val="0"/>
      <w:marBottom w:val="0"/>
      <w:divBdr>
        <w:top w:val="none" w:sz="0" w:space="0" w:color="auto"/>
        <w:left w:val="none" w:sz="0" w:space="0" w:color="auto"/>
        <w:bottom w:val="none" w:sz="0" w:space="0" w:color="auto"/>
        <w:right w:val="none" w:sz="0" w:space="0" w:color="auto"/>
      </w:divBdr>
    </w:div>
    <w:div w:id="170340427">
      <w:bodyDiv w:val="1"/>
      <w:marLeft w:val="0"/>
      <w:marRight w:val="0"/>
      <w:marTop w:val="0"/>
      <w:marBottom w:val="0"/>
      <w:divBdr>
        <w:top w:val="none" w:sz="0" w:space="0" w:color="auto"/>
        <w:left w:val="none" w:sz="0" w:space="0" w:color="auto"/>
        <w:bottom w:val="none" w:sz="0" w:space="0" w:color="auto"/>
        <w:right w:val="none" w:sz="0" w:space="0" w:color="auto"/>
      </w:divBdr>
    </w:div>
    <w:div w:id="170681667">
      <w:bodyDiv w:val="1"/>
      <w:marLeft w:val="0"/>
      <w:marRight w:val="0"/>
      <w:marTop w:val="0"/>
      <w:marBottom w:val="0"/>
      <w:divBdr>
        <w:top w:val="none" w:sz="0" w:space="0" w:color="auto"/>
        <w:left w:val="none" w:sz="0" w:space="0" w:color="auto"/>
        <w:bottom w:val="none" w:sz="0" w:space="0" w:color="auto"/>
        <w:right w:val="none" w:sz="0" w:space="0" w:color="auto"/>
      </w:divBdr>
    </w:div>
    <w:div w:id="171260503">
      <w:bodyDiv w:val="1"/>
      <w:marLeft w:val="0"/>
      <w:marRight w:val="0"/>
      <w:marTop w:val="0"/>
      <w:marBottom w:val="0"/>
      <w:divBdr>
        <w:top w:val="none" w:sz="0" w:space="0" w:color="auto"/>
        <w:left w:val="none" w:sz="0" w:space="0" w:color="auto"/>
        <w:bottom w:val="none" w:sz="0" w:space="0" w:color="auto"/>
        <w:right w:val="none" w:sz="0" w:space="0" w:color="auto"/>
      </w:divBdr>
    </w:div>
    <w:div w:id="172231101">
      <w:bodyDiv w:val="1"/>
      <w:marLeft w:val="0"/>
      <w:marRight w:val="0"/>
      <w:marTop w:val="0"/>
      <w:marBottom w:val="0"/>
      <w:divBdr>
        <w:top w:val="none" w:sz="0" w:space="0" w:color="auto"/>
        <w:left w:val="none" w:sz="0" w:space="0" w:color="auto"/>
        <w:bottom w:val="none" w:sz="0" w:space="0" w:color="auto"/>
        <w:right w:val="none" w:sz="0" w:space="0" w:color="auto"/>
      </w:divBdr>
    </w:div>
    <w:div w:id="173811206">
      <w:bodyDiv w:val="1"/>
      <w:marLeft w:val="0"/>
      <w:marRight w:val="0"/>
      <w:marTop w:val="0"/>
      <w:marBottom w:val="0"/>
      <w:divBdr>
        <w:top w:val="none" w:sz="0" w:space="0" w:color="auto"/>
        <w:left w:val="none" w:sz="0" w:space="0" w:color="auto"/>
        <w:bottom w:val="none" w:sz="0" w:space="0" w:color="auto"/>
        <w:right w:val="none" w:sz="0" w:space="0" w:color="auto"/>
      </w:divBdr>
    </w:div>
    <w:div w:id="178201176">
      <w:bodyDiv w:val="1"/>
      <w:marLeft w:val="0"/>
      <w:marRight w:val="0"/>
      <w:marTop w:val="0"/>
      <w:marBottom w:val="0"/>
      <w:divBdr>
        <w:top w:val="none" w:sz="0" w:space="0" w:color="auto"/>
        <w:left w:val="none" w:sz="0" w:space="0" w:color="auto"/>
        <w:bottom w:val="none" w:sz="0" w:space="0" w:color="auto"/>
        <w:right w:val="none" w:sz="0" w:space="0" w:color="auto"/>
      </w:divBdr>
    </w:div>
    <w:div w:id="182133648">
      <w:bodyDiv w:val="1"/>
      <w:marLeft w:val="0"/>
      <w:marRight w:val="0"/>
      <w:marTop w:val="0"/>
      <w:marBottom w:val="0"/>
      <w:divBdr>
        <w:top w:val="none" w:sz="0" w:space="0" w:color="auto"/>
        <w:left w:val="none" w:sz="0" w:space="0" w:color="auto"/>
        <w:bottom w:val="none" w:sz="0" w:space="0" w:color="auto"/>
        <w:right w:val="none" w:sz="0" w:space="0" w:color="auto"/>
      </w:divBdr>
    </w:div>
    <w:div w:id="186137879">
      <w:bodyDiv w:val="1"/>
      <w:marLeft w:val="0"/>
      <w:marRight w:val="0"/>
      <w:marTop w:val="0"/>
      <w:marBottom w:val="0"/>
      <w:divBdr>
        <w:top w:val="none" w:sz="0" w:space="0" w:color="auto"/>
        <w:left w:val="none" w:sz="0" w:space="0" w:color="auto"/>
        <w:bottom w:val="none" w:sz="0" w:space="0" w:color="auto"/>
        <w:right w:val="none" w:sz="0" w:space="0" w:color="auto"/>
      </w:divBdr>
    </w:div>
    <w:div w:id="187379216">
      <w:bodyDiv w:val="1"/>
      <w:marLeft w:val="0"/>
      <w:marRight w:val="0"/>
      <w:marTop w:val="0"/>
      <w:marBottom w:val="0"/>
      <w:divBdr>
        <w:top w:val="none" w:sz="0" w:space="0" w:color="auto"/>
        <w:left w:val="none" w:sz="0" w:space="0" w:color="auto"/>
        <w:bottom w:val="none" w:sz="0" w:space="0" w:color="auto"/>
        <w:right w:val="none" w:sz="0" w:space="0" w:color="auto"/>
      </w:divBdr>
    </w:div>
    <w:div w:id="188488626">
      <w:bodyDiv w:val="1"/>
      <w:marLeft w:val="0"/>
      <w:marRight w:val="0"/>
      <w:marTop w:val="0"/>
      <w:marBottom w:val="0"/>
      <w:divBdr>
        <w:top w:val="none" w:sz="0" w:space="0" w:color="auto"/>
        <w:left w:val="none" w:sz="0" w:space="0" w:color="auto"/>
        <w:bottom w:val="none" w:sz="0" w:space="0" w:color="auto"/>
        <w:right w:val="none" w:sz="0" w:space="0" w:color="auto"/>
      </w:divBdr>
    </w:div>
    <w:div w:id="190190891">
      <w:bodyDiv w:val="1"/>
      <w:marLeft w:val="0"/>
      <w:marRight w:val="0"/>
      <w:marTop w:val="0"/>
      <w:marBottom w:val="0"/>
      <w:divBdr>
        <w:top w:val="none" w:sz="0" w:space="0" w:color="auto"/>
        <w:left w:val="none" w:sz="0" w:space="0" w:color="auto"/>
        <w:bottom w:val="none" w:sz="0" w:space="0" w:color="auto"/>
        <w:right w:val="none" w:sz="0" w:space="0" w:color="auto"/>
      </w:divBdr>
    </w:div>
    <w:div w:id="193688432">
      <w:bodyDiv w:val="1"/>
      <w:marLeft w:val="0"/>
      <w:marRight w:val="0"/>
      <w:marTop w:val="0"/>
      <w:marBottom w:val="0"/>
      <w:divBdr>
        <w:top w:val="none" w:sz="0" w:space="0" w:color="auto"/>
        <w:left w:val="none" w:sz="0" w:space="0" w:color="auto"/>
        <w:bottom w:val="none" w:sz="0" w:space="0" w:color="auto"/>
        <w:right w:val="none" w:sz="0" w:space="0" w:color="auto"/>
      </w:divBdr>
    </w:div>
    <w:div w:id="200479004">
      <w:bodyDiv w:val="1"/>
      <w:marLeft w:val="0"/>
      <w:marRight w:val="0"/>
      <w:marTop w:val="0"/>
      <w:marBottom w:val="0"/>
      <w:divBdr>
        <w:top w:val="none" w:sz="0" w:space="0" w:color="auto"/>
        <w:left w:val="none" w:sz="0" w:space="0" w:color="auto"/>
        <w:bottom w:val="none" w:sz="0" w:space="0" w:color="auto"/>
        <w:right w:val="none" w:sz="0" w:space="0" w:color="auto"/>
      </w:divBdr>
    </w:div>
    <w:div w:id="200674947">
      <w:bodyDiv w:val="1"/>
      <w:marLeft w:val="0"/>
      <w:marRight w:val="0"/>
      <w:marTop w:val="0"/>
      <w:marBottom w:val="0"/>
      <w:divBdr>
        <w:top w:val="none" w:sz="0" w:space="0" w:color="auto"/>
        <w:left w:val="none" w:sz="0" w:space="0" w:color="auto"/>
        <w:bottom w:val="none" w:sz="0" w:space="0" w:color="auto"/>
        <w:right w:val="none" w:sz="0" w:space="0" w:color="auto"/>
      </w:divBdr>
    </w:div>
    <w:div w:id="209080144">
      <w:bodyDiv w:val="1"/>
      <w:marLeft w:val="0"/>
      <w:marRight w:val="0"/>
      <w:marTop w:val="0"/>
      <w:marBottom w:val="0"/>
      <w:divBdr>
        <w:top w:val="none" w:sz="0" w:space="0" w:color="auto"/>
        <w:left w:val="none" w:sz="0" w:space="0" w:color="auto"/>
        <w:bottom w:val="none" w:sz="0" w:space="0" w:color="auto"/>
        <w:right w:val="none" w:sz="0" w:space="0" w:color="auto"/>
      </w:divBdr>
    </w:div>
    <w:div w:id="214969401">
      <w:bodyDiv w:val="1"/>
      <w:marLeft w:val="0"/>
      <w:marRight w:val="0"/>
      <w:marTop w:val="0"/>
      <w:marBottom w:val="0"/>
      <w:divBdr>
        <w:top w:val="none" w:sz="0" w:space="0" w:color="auto"/>
        <w:left w:val="none" w:sz="0" w:space="0" w:color="auto"/>
        <w:bottom w:val="none" w:sz="0" w:space="0" w:color="auto"/>
        <w:right w:val="none" w:sz="0" w:space="0" w:color="auto"/>
      </w:divBdr>
    </w:div>
    <w:div w:id="220871063">
      <w:bodyDiv w:val="1"/>
      <w:marLeft w:val="0"/>
      <w:marRight w:val="0"/>
      <w:marTop w:val="0"/>
      <w:marBottom w:val="0"/>
      <w:divBdr>
        <w:top w:val="none" w:sz="0" w:space="0" w:color="auto"/>
        <w:left w:val="none" w:sz="0" w:space="0" w:color="auto"/>
        <w:bottom w:val="none" w:sz="0" w:space="0" w:color="auto"/>
        <w:right w:val="none" w:sz="0" w:space="0" w:color="auto"/>
      </w:divBdr>
    </w:div>
    <w:div w:id="235825609">
      <w:bodyDiv w:val="1"/>
      <w:marLeft w:val="0"/>
      <w:marRight w:val="0"/>
      <w:marTop w:val="0"/>
      <w:marBottom w:val="0"/>
      <w:divBdr>
        <w:top w:val="none" w:sz="0" w:space="0" w:color="auto"/>
        <w:left w:val="none" w:sz="0" w:space="0" w:color="auto"/>
        <w:bottom w:val="none" w:sz="0" w:space="0" w:color="auto"/>
        <w:right w:val="none" w:sz="0" w:space="0" w:color="auto"/>
      </w:divBdr>
    </w:div>
    <w:div w:id="237593780">
      <w:bodyDiv w:val="1"/>
      <w:marLeft w:val="0"/>
      <w:marRight w:val="0"/>
      <w:marTop w:val="0"/>
      <w:marBottom w:val="0"/>
      <w:divBdr>
        <w:top w:val="none" w:sz="0" w:space="0" w:color="auto"/>
        <w:left w:val="none" w:sz="0" w:space="0" w:color="auto"/>
        <w:bottom w:val="none" w:sz="0" w:space="0" w:color="auto"/>
        <w:right w:val="none" w:sz="0" w:space="0" w:color="auto"/>
      </w:divBdr>
    </w:div>
    <w:div w:id="238833104">
      <w:bodyDiv w:val="1"/>
      <w:marLeft w:val="0"/>
      <w:marRight w:val="0"/>
      <w:marTop w:val="0"/>
      <w:marBottom w:val="0"/>
      <w:divBdr>
        <w:top w:val="none" w:sz="0" w:space="0" w:color="auto"/>
        <w:left w:val="none" w:sz="0" w:space="0" w:color="auto"/>
        <w:bottom w:val="none" w:sz="0" w:space="0" w:color="auto"/>
        <w:right w:val="none" w:sz="0" w:space="0" w:color="auto"/>
      </w:divBdr>
    </w:div>
    <w:div w:id="257063019">
      <w:bodyDiv w:val="1"/>
      <w:marLeft w:val="0"/>
      <w:marRight w:val="0"/>
      <w:marTop w:val="0"/>
      <w:marBottom w:val="0"/>
      <w:divBdr>
        <w:top w:val="none" w:sz="0" w:space="0" w:color="auto"/>
        <w:left w:val="none" w:sz="0" w:space="0" w:color="auto"/>
        <w:bottom w:val="none" w:sz="0" w:space="0" w:color="auto"/>
        <w:right w:val="none" w:sz="0" w:space="0" w:color="auto"/>
      </w:divBdr>
    </w:div>
    <w:div w:id="260452520">
      <w:bodyDiv w:val="1"/>
      <w:marLeft w:val="0"/>
      <w:marRight w:val="0"/>
      <w:marTop w:val="0"/>
      <w:marBottom w:val="0"/>
      <w:divBdr>
        <w:top w:val="none" w:sz="0" w:space="0" w:color="auto"/>
        <w:left w:val="none" w:sz="0" w:space="0" w:color="auto"/>
        <w:bottom w:val="none" w:sz="0" w:space="0" w:color="auto"/>
        <w:right w:val="none" w:sz="0" w:space="0" w:color="auto"/>
      </w:divBdr>
    </w:div>
    <w:div w:id="264969161">
      <w:bodyDiv w:val="1"/>
      <w:marLeft w:val="0"/>
      <w:marRight w:val="0"/>
      <w:marTop w:val="0"/>
      <w:marBottom w:val="0"/>
      <w:divBdr>
        <w:top w:val="none" w:sz="0" w:space="0" w:color="auto"/>
        <w:left w:val="none" w:sz="0" w:space="0" w:color="auto"/>
        <w:bottom w:val="none" w:sz="0" w:space="0" w:color="auto"/>
        <w:right w:val="none" w:sz="0" w:space="0" w:color="auto"/>
      </w:divBdr>
    </w:div>
    <w:div w:id="265189043">
      <w:bodyDiv w:val="1"/>
      <w:marLeft w:val="0"/>
      <w:marRight w:val="0"/>
      <w:marTop w:val="0"/>
      <w:marBottom w:val="0"/>
      <w:divBdr>
        <w:top w:val="none" w:sz="0" w:space="0" w:color="auto"/>
        <w:left w:val="none" w:sz="0" w:space="0" w:color="auto"/>
        <w:bottom w:val="none" w:sz="0" w:space="0" w:color="auto"/>
        <w:right w:val="none" w:sz="0" w:space="0" w:color="auto"/>
      </w:divBdr>
    </w:div>
    <w:div w:id="268389434">
      <w:bodyDiv w:val="1"/>
      <w:marLeft w:val="0"/>
      <w:marRight w:val="0"/>
      <w:marTop w:val="0"/>
      <w:marBottom w:val="0"/>
      <w:divBdr>
        <w:top w:val="none" w:sz="0" w:space="0" w:color="auto"/>
        <w:left w:val="none" w:sz="0" w:space="0" w:color="auto"/>
        <w:bottom w:val="none" w:sz="0" w:space="0" w:color="auto"/>
        <w:right w:val="none" w:sz="0" w:space="0" w:color="auto"/>
      </w:divBdr>
    </w:div>
    <w:div w:id="271282895">
      <w:bodyDiv w:val="1"/>
      <w:marLeft w:val="0"/>
      <w:marRight w:val="0"/>
      <w:marTop w:val="0"/>
      <w:marBottom w:val="0"/>
      <w:divBdr>
        <w:top w:val="none" w:sz="0" w:space="0" w:color="auto"/>
        <w:left w:val="none" w:sz="0" w:space="0" w:color="auto"/>
        <w:bottom w:val="none" w:sz="0" w:space="0" w:color="auto"/>
        <w:right w:val="none" w:sz="0" w:space="0" w:color="auto"/>
      </w:divBdr>
    </w:div>
    <w:div w:id="276261163">
      <w:bodyDiv w:val="1"/>
      <w:marLeft w:val="0"/>
      <w:marRight w:val="0"/>
      <w:marTop w:val="0"/>
      <w:marBottom w:val="0"/>
      <w:divBdr>
        <w:top w:val="none" w:sz="0" w:space="0" w:color="auto"/>
        <w:left w:val="none" w:sz="0" w:space="0" w:color="auto"/>
        <w:bottom w:val="none" w:sz="0" w:space="0" w:color="auto"/>
        <w:right w:val="none" w:sz="0" w:space="0" w:color="auto"/>
      </w:divBdr>
    </w:div>
    <w:div w:id="284119107">
      <w:bodyDiv w:val="1"/>
      <w:marLeft w:val="0"/>
      <w:marRight w:val="0"/>
      <w:marTop w:val="0"/>
      <w:marBottom w:val="0"/>
      <w:divBdr>
        <w:top w:val="none" w:sz="0" w:space="0" w:color="auto"/>
        <w:left w:val="none" w:sz="0" w:space="0" w:color="auto"/>
        <w:bottom w:val="none" w:sz="0" w:space="0" w:color="auto"/>
        <w:right w:val="none" w:sz="0" w:space="0" w:color="auto"/>
      </w:divBdr>
    </w:div>
    <w:div w:id="288711761">
      <w:bodyDiv w:val="1"/>
      <w:marLeft w:val="0"/>
      <w:marRight w:val="0"/>
      <w:marTop w:val="0"/>
      <w:marBottom w:val="0"/>
      <w:divBdr>
        <w:top w:val="none" w:sz="0" w:space="0" w:color="auto"/>
        <w:left w:val="none" w:sz="0" w:space="0" w:color="auto"/>
        <w:bottom w:val="none" w:sz="0" w:space="0" w:color="auto"/>
        <w:right w:val="none" w:sz="0" w:space="0" w:color="auto"/>
      </w:divBdr>
    </w:div>
    <w:div w:id="289745859">
      <w:bodyDiv w:val="1"/>
      <w:marLeft w:val="0"/>
      <w:marRight w:val="0"/>
      <w:marTop w:val="0"/>
      <w:marBottom w:val="0"/>
      <w:divBdr>
        <w:top w:val="none" w:sz="0" w:space="0" w:color="auto"/>
        <w:left w:val="none" w:sz="0" w:space="0" w:color="auto"/>
        <w:bottom w:val="none" w:sz="0" w:space="0" w:color="auto"/>
        <w:right w:val="none" w:sz="0" w:space="0" w:color="auto"/>
      </w:divBdr>
    </w:div>
    <w:div w:id="291208500">
      <w:bodyDiv w:val="1"/>
      <w:marLeft w:val="0"/>
      <w:marRight w:val="0"/>
      <w:marTop w:val="0"/>
      <w:marBottom w:val="0"/>
      <w:divBdr>
        <w:top w:val="none" w:sz="0" w:space="0" w:color="auto"/>
        <w:left w:val="none" w:sz="0" w:space="0" w:color="auto"/>
        <w:bottom w:val="none" w:sz="0" w:space="0" w:color="auto"/>
        <w:right w:val="none" w:sz="0" w:space="0" w:color="auto"/>
      </w:divBdr>
    </w:div>
    <w:div w:id="300618139">
      <w:bodyDiv w:val="1"/>
      <w:marLeft w:val="0"/>
      <w:marRight w:val="0"/>
      <w:marTop w:val="0"/>
      <w:marBottom w:val="0"/>
      <w:divBdr>
        <w:top w:val="none" w:sz="0" w:space="0" w:color="auto"/>
        <w:left w:val="none" w:sz="0" w:space="0" w:color="auto"/>
        <w:bottom w:val="none" w:sz="0" w:space="0" w:color="auto"/>
        <w:right w:val="none" w:sz="0" w:space="0" w:color="auto"/>
      </w:divBdr>
    </w:div>
    <w:div w:id="301160579">
      <w:bodyDiv w:val="1"/>
      <w:marLeft w:val="0"/>
      <w:marRight w:val="0"/>
      <w:marTop w:val="0"/>
      <w:marBottom w:val="0"/>
      <w:divBdr>
        <w:top w:val="none" w:sz="0" w:space="0" w:color="auto"/>
        <w:left w:val="none" w:sz="0" w:space="0" w:color="auto"/>
        <w:bottom w:val="none" w:sz="0" w:space="0" w:color="auto"/>
        <w:right w:val="none" w:sz="0" w:space="0" w:color="auto"/>
      </w:divBdr>
    </w:div>
    <w:div w:id="302200157">
      <w:bodyDiv w:val="1"/>
      <w:marLeft w:val="0"/>
      <w:marRight w:val="0"/>
      <w:marTop w:val="0"/>
      <w:marBottom w:val="0"/>
      <w:divBdr>
        <w:top w:val="none" w:sz="0" w:space="0" w:color="auto"/>
        <w:left w:val="none" w:sz="0" w:space="0" w:color="auto"/>
        <w:bottom w:val="none" w:sz="0" w:space="0" w:color="auto"/>
        <w:right w:val="none" w:sz="0" w:space="0" w:color="auto"/>
      </w:divBdr>
    </w:div>
    <w:div w:id="306714297">
      <w:bodyDiv w:val="1"/>
      <w:marLeft w:val="0"/>
      <w:marRight w:val="0"/>
      <w:marTop w:val="0"/>
      <w:marBottom w:val="0"/>
      <w:divBdr>
        <w:top w:val="none" w:sz="0" w:space="0" w:color="auto"/>
        <w:left w:val="none" w:sz="0" w:space="0" w:color="auto"/>
        <w:bottom w:val="none" w:sz="0" w:space="0" w:color="auto"/>
        <w:right w:val="none" w:sz="0" w:space="0" w:color="auto"/>
      </w:divBdr>
    </w:div>
    <w:div w:id="308168033">
      <w:bodyDiv w:val="1"/>
      <w:marLeft w:val="0"/>
      <w:marRight w:val="0"/>
      <w:marTop w:val="0"/>
      <w:marBottom w:val="0"/>
      <w:divBdr>
        <w:top w:val="none" w:sz="0" w:space="0" w:color="auto"/>
        <w:left w:val="none" w:sz="0" w:space="0" w:color="auto"/>
        <w:bottom w:val="none" w:sz="0" w:space="0" w:color="auto"/>
        <w:right w:val="none" w:sz="0" w:space="0" w:color="auto"/>
      </w:divBdr>
    </w:div>
    <w:div w:id="308247187">
      <w:bodyDiv w:val="1"/>
      <w:marLeft w:val="0"/>
      <w:marRight w:val="0"/>
      <w:marTop w:val="0"/>
      <w:marBottom w:val="0"/>
      <w:divBdr>
        <w:top w:val="none" w:sz="0" w:space="0" w:color="auto"/>
        <w:left w:val="none" w:sz="0" w:space="0" w:color="auto"/>
        <w:bottom w:val="none" w:sz="0" w:space="0" w:color="auto"/>
        <w:right w:val="none" w:sz="0" w:space="0" w:color="auto"/>
      </w:divBdr>
    </w:div>
    <w:div w:id="329524504">
      <w:bodyDiv w:val="1"/>
      <w:marLeft w:val="0"/>
      <w:marRight w:val="0"/>
      <w:marTop w:val="0"/>
      <w:marBottom w:val="0"/>
      <w:divBdr>
        <w:top w:val="none" w:sz="0" w:space="0" w:color="auto"/>
        <w:left w:val="none" w:sz="0" w:space="0" w:color="auto"/>
        <w:bottom w:val="none" w:sz="0" w:space="0" w:color="auto"/>
        <w:right w:val="none" w:sz="0" w:space="0" w:color="auto"/>
      </w:divBdr>
    </w:div>
    <w:div w:id="337928759">
      <w:bodyDiv w:val="1"/>
      <w:marLeft w:val="0"/>
      <w:marRight w:val="0"/>
      <w:marTop w:val="0"/>
      <w:marBottom w:val="0"/>
      <w:divBdr>
        <w:top w:val="none" w:sz="0" w:space="0" w:color="auto"/>
        <w:left w:val="none" w:sz="0" w:space="0" w:color="auto"/>
        <w:bottom w:val="none" w:sz="0" w:space="0" w:color="auto"/>
        <w:right w:val="none" w:sz="0" w:space="0" w:color="auto"/>
      </w:divBdr>
    </w:div>
    <w:div w:id="338125025">
      <w:bodyDiv w:val="1"/>
      <w:marLeft w:val="0"/>
      <w:marRight w:val="0"/>
      <w:marTop w:val="0"/>
      <w:marBottom w:val="0"/>
      <w:divBdr>
        <w:top w:val="none" w:sz="0" w:space="0" w:color="auto"/>
        <w:left w:val="none" w:sz="0" w:space="0" w:color="auto"/>
        <w:bottom w:val="none" w:sz="0" w:space="0" w:color="auto"/>
        <w:right w:val="none" w:sz="0" w:space="0" w:color="auto"/>
      </w:divBdr>
    </w:div>
    <w:div w:id="339701304">
      <w:bodyDiv w:val="1"/>
      <w:marLeft w:val="0"/>
      <w:marRight w:val="0"/>
      <w:marTop w:val="0"/>
      <w:marBottom w:val="0"/>
      <w:divBdr>
        <w:top w:val="none" w:sz="0" w:space="0" w:color="auto"/>
        <w:left w:val="none" w:sz="0" w:space="0" w:color="auto"/>
        <w:bottom w:val="none" w:sz="0" w:space="0" w:color="auto"/>
        <w:right w:val="none" w:sz="0" w:space="0" w:color="auto"/>
      </w:divBdr>
    </w:div>
    <w:div w:id="347948826">
      <w:bodyDiv w:val="1"/>
      <w:marLeft w:val="0"/>
      <w:marRight w:val="0"/>
      <w:marTop w:val="0"/>
      <w:marBottom w:val="0"/>
      <w:divBdr>
        <w:top w:val="none" w:sz="0" w:space="0" w:color="auto"/>
        <w:left w:val="none" w:sz="0" w:space="0" w:color="auto"/>
        <w:bottom w:val="none" w:sz="0" w:space="0" w:color="auto"/>
        <w:right w:val="none" w:sz="0" w:space="0" w:color="auto"/>
      </w:divBdr>
    </w:div>
    <w:div w:id="350109642">
      <w:bodyDiv w:val="1"/>
      <w:marLeft w:val="0"/>
      <w:marRight w:val="0"/>
      <w:marTop w:val="0"/>
      <w:marBottom w:val="0"/>
      <w:divBdr>
        <w:top w:val="none" w:sz="0" w:space="0" w:color="auto"/>
        <w:left w:val="none" w:sz="0" w:space="0" w:color="auto"/>
        <w:bottom w:val="none" w:sz="0" w:space="0" w:color="auto"/>
        <w:right w:val="none" w:sz="0" w:space="0" w:color="auto"/>
      </w:divBdr>
    </w:div>
    <w:div w:id="351027987">
      <w:bodyDiv w:val="1"/>
      <w:marLeft w:val="0"/>
      <w:marRight w:val="0"/>
      <w:marTop w:val="0"/>
      <w:marBottom w:val="0"/>
      <w:divBdr>
        <w:top w:val="none" w:sz="0" w:space="0" w:color="auto"/>
        <w:left w:val="none" w:sz="0" w:space="0" w:color="auto"/>
        <w:bottom w:val="none" w:sz="0" w:space="0" w:color="auto"/>
        <w:right w:val="none" w:sz="0" w:space="0" w:color="auto"/>
      </w:divBdr>
    </w:div>
    <w:div w:id="354381148">
      <w:bodyDiv w:val="1"/>
      <w:marLeft w:val="0"/>
      <w:marRight w:val="0"/>
      <w:marTop w:val="0"/>
      <w:marBottom w:val="0"/>
      <w:divBdr>
        <w:top w:val="none" w:sz="0" w:space="0" w:color="auto"/>
        <w:left w:val="none" w:sz="0" w:space="0" w:color="auto"/>
        <w:bottom w:val="none" w:sz="0" w:space="0" w:color="auto"/>
        <w:right w:val="none" w:sz="0" w:space="0" w:color="auto"/>
      </w:divBdr>
    </w:div>
    <w:div w:id="357463298">
      <w:bodyDiv w:val="1"/>
      <w:marLeft w:val="0"/>
      <w:marRight w:val="0"/>
      <w:marTop w:val="0"/>
      <w:marBottom w:val="0"/>
      <w:divBdr>
        <w:top w:val="none" w:sz="0" w:space="0" w:color="auto"/>
        <w:left w:val="none" w:sz="0" w:space="0" w:color="auto"/>
        <w:bottom w:val="none" w:sz="0" w:space="0" w:color="auto"/>
        <w:right w:val="none" w:sz="0" w:space="0" w:color="auto"/>
      </w:divBdr>
    </w:div>
    <w:div w:id="358972242">
      <w:bodyDiv w:val="1"/>
      <w:marLeft w:val="0"/>
      <w:marRight w:val="0"/>
      <w:marTop w:val="0"/>
      <w:marBottom w:val="0"/>
      <w:divBdr>
        <w:top w:val="none" w:sz="0" w:space="0" w:color="auto"/>
        <w:left w:val="none" w:sz="0" w:space="0" w:color="auto"/>
        <w:bottom w:val="none" w:sz="0" w:space="0" w:color="auto"/>
        <w:right w:val="none" w:sz="0" w:space="0" w:color="auto"/>
      </w:divBdr>
    </w:div>
    <w:div w:id="364257266">
      <w:bodyDiv w:val="1"/>
      <w:marLeft w:val="0"/>
      <w:marRight w:val="0"/>
      <w:marTop w:val="0"/>
      <w:marBottom w:val="0"/>
      <w:divBdr>
        <w:top w:val="none" w:sz="0" w:space="0" w:color="auto"/>
        <w:left w:val="none" w:sz="0" w:space="0" w:color="auto"/>
        <w:bottom w:val="none" w:sz="0" w:space="0" w:color="auto"/>
        <w:right w:val="none" w:sz="0" w:space="0" w:color="auto"/>
      </w:divBdr>
    </w:div>
    <w:div w:id="367994376">
      <w:bodyDiv w:val="1"/>
      <w:marLeft w:val="0"/>
      <w:marRight w:val="0"/>
      <w:marTop w:val="0"/>
      <w:marBottom w:val="0"/>
      <w:divBdr>
        <w:top w:val="none" w:sz="0" w:space="0" w:color="auto"/>
        <w:left w:val="none" w:sz="0" w:space="0" w:color="auto"/>
        <w:bottom w:val="none" w:sz="0" w:space="0" w:color="auto"/>
        <w:right w:val="none" w:sz="0" w:space="0" w:color="auto"/>
      </w:divBdr>
    </w:div>
    <w:div w:id="369767257">
      <w:bodyDiv w:val="1"/>
      <w:marLeft w:val="0"/>
      <w:marRight w:val="0"/>
      <w:marTop w:val="0"/>
      <w:marBottom w:val="0"/>
      <w:divBdr>
        <w:top w:val="none" w:sz="0" w:space="0" w:color="auto"/>
        <w:left w:val="none" w:sz="0" w:space="0" w:color="auto"/>
        <w:bottom w:val="none" w:sz="0" w:space="0" w:color="auto"/>
        <w:right w:val="none" w:sz="0" w:space="0" w:color="auto"/>
      </w:divBdr>
    </w:div>
    <w:div w:id="369842290">
      <w:bodyDiv w:val="1"/>
      <w:marLeft w:val="0"/>
      <w:marRight w:val="0"/>
      <w:marTop w:val="0"/>
      <w:marBottom w:val="0"/>
      <w:divBdr>
        <w:top w:val="none" w:sz="0" w:space="0" w:color="auto"/>
        <w:left w:val="none" w:sz="0" w:space="0" w:color="auto"/>
        <w:bottom w:val="none" w:sz="0" w:space="0" w:color="auto"/>
        <w:right w:val="none" w:sz="0" w:space="0" w:color="auto"/>
      </w:divBdr>
    </w:div>
    <w:div w:id="371223863">
      <w:bodyDiv w:val="1"/>
      <w:marLeft w:val="0"/>
      <w:marRight w:val="0"/>
      <w:marTop w:val="0"/>
      <w:marBottom w:val="0"/>
      <w:divBdr>
        <w:top w:val="none" w:sz="0" w:space="0" w:color="auto"/>
        <w:left w:val="none" w:sz="0" w:space="0" w:color="auto"/>
        <w:bottom w:val="none" w:sz="0" w:space="0" w:color="auto"/>
        <w:right w:val="none" w:sz="0" w:space="0" w:color="auto"/>
      </w:divBdr>
    </w:div>
    <w:div w:id="373426609">
      <w:bodyDiv w:val="1"/>
      <w:marLeft w:val="0"/>
      <w:marRight w:val="0"/>
      <w:marTop w:val="0"/>
      <w:marBottom w:val="0"/>
      <w:divBdr>
        <w:top w:val="none" w:sz="0" w:space="0" w:color="auto"/>
        <w:left w:val="none" w:sz="0" w:space="0" w:color="auto"/>
        <w:bottom w:val="none" w:sz="0" w:space="0" w:color="auto"/>
        <w:right w:val="none" w:sz="0" w:space="0" w:color="auto"/>
      </w:divBdr>
    </w:div>
    <w:div w:id="380401089">
      <w:bodyDiv w:val="1"/>
      <w:marLeft w:val="0"/>
      <w:marRight w:val="0"/>
      <w:marTop w:val="0"/>
      <w:marBottom w:val="0"/>
      <w:divBdr>
        <w:top w:val="none" w:sz="0" w:space="0" w:color="auto"/>
        <w:left w:val="none" w:sz="0" w:space="0" w:color="auto"/>
        <w:bottom w:val="none" w:sz="0" w:space="0" w:color="auto"/>
        <w:right w:val="none" w:sz="0" w:space="0" w:color="auto"/>
      </w:divBdr>
    </w:div>
    <w:div w:id="390081235">
      <w:bodyDiv w:val="1"/>
      <w:marLeft w:val="0"/>
      <w:marRight w:val="0"/>
      <w:marTop w:val="0"/>
      <w:marBottom w:val="0"/>
      <w:divBdr>
        <w:top w:val="none" w:sz="0" w:space="0" w:color="auto"/>
        <w:left w:val="none" w:sz="0" w:space="0" w:color="auto"/>
        <w:bottom w:val="none" w:sz="0" w:space="0" w:color="auto"/>
        <w:right w:val="none" w:sz="0" w:space="0" w:color="auto"/>
      </w:divBdr>
    </w:div>
    <w:div w:id="392854390">
      <w:bodyDiv w:val="1"/>
      <w:marLeft w:val="0"/>
      <w:marRight w:val="0"/>
      <w:marTop w:val="0"/>
      <w:marBottom w:val="0"/>
      <w:divBdr>
        <w:top w:val="none" w:sz="0" w:space="0" w:color="auto"/>
        <w:left w:val="none" w:sz="0" w:space="0" w:color="auto"/>
        <w:bottom w:val="none" w:sz="0" w:space="0" w:color="auto"/>
        <w:right w:val="none" w:sz="0" w:space="0" w:color="auto"/>
      </w:divBdr>
    </w:div>
    <w:div w:id="395279527">
      <w:bodyDiv w:val="1"/>
      <w:marLeft w:val="0"/>
      <w:marRight w:val="0"/>
      <w:marTop w:val="0"/>
      <w:marBottom w:val="0"/>
      <w:divBdr>
        <w:top w:val="none" w:sz="0" w:space="0" w:color="auto"/>
        <w:left w:val="none" w:sz="0" w:space="0" w:color="auto"/>
        <w:bottom w:val="none" w:sz="0" w:space="0" w:color="auto"/>
        <w:right w:val="none" w:sz="0" w:space="0" w:color="auto"/>
      </w:divBdr>
    </w:div>
    <w:div w:id="397552097">
      <w:bodyDiv w:val="1"/>
      <w:marLeft w:val="0"/>
      <w:marRight w:val="0"/>
      <w:marTop w:val="0"/>
      <w:marBottom w:val="0"/>
      <w:divBdr>
        <w:top w:val="none" w:sz="0" w:space="0" w:color="auto"/>
        <w:left w:val="none" w:sz="0" w:space="0" w:color="auto"/>
        <w:bottom w:val="none" w:sz="0" w:space="0" w:color="auto"/>
        <w:right w:val="none" w:sz="0" w:space="0" w:color="auto"/>
      </w:divBdr>
    </w:div>
    <w:div w:id="398485477">
      <w:bodyDiv w:val="1"/>
      <w:marLeft w:val="0"/>
      <w:marRight w:val="0"/>
      <w:marTop w:val="0"/>
      <w:marBottom w:val="0"/>
      <w:divBdr>
        <w:top w:val="none" w:sz="0" w:space="0" w:color="auto"/>
        <w:left w:val="none" w:sz="0" w:space="0" w:color="auto"/>
        <w:bottom w:val="none" w:sz="0" w:space="0" w:color="auto"/>
        <w:right w:val="none" w:sz="0" w:space="0" w:color="auto"/>
      </w:divBdr>
    </w:div>
    <w:div w:id="412820807">
      <w:bodyDiv w:val="1"/>
      <w:marLeft w:val="0"/>
      <w:marRight w:val="0"/>
      <w:marTop w:val="0"/>
      <w:marBottom w:val="0"/>
      <w:divBdr>
        <w:top w:val="none" w:sz="0" w:space="0" w:color="auto"/>
        <w:left w:val="none" w:sz="0" w:space="0" w:color="auto"/>
        <w:bottom w:val="none" w:sz="0" w:space="0" w:color="auto"/>
        <w:right w:val="none" w:sz="0" w:space="0" w:color="auto"/>
      </w:divBdr>
    </w:div>
    <w:div w:id="419181309">
      <w:bodyDiv w:val="1"/>
      <w:marLeft w:val="0"/>
      <w:marRight w:val="0"/>
      <w:marTop w:val="0"/>
      <w:marBottom w:val="0"/>
      <w:divBdr>
        <w:top w:val="none" w:sz="0" w:space="0" w:color="auto"/>
        <w:left w:val="none" w:sz="0" w:space="0" w:color="auto"/>
        <w:bottom w:val="none" w:sz="0" w:space="0" w:color="auto"/>
        <w:right w:val="none" w:sz="0" w:space="0" w:color="auto"/>
      </w:divBdr>
    </w:div>
    <w:div w:id="419763510">
      <w:bodyDiv w:val="1"/>
      <w:marLeft w:val="0"/>
      <w:marRight w:val="0"/>
      <w:marTop w:val="0"/>
      <w:marBottom w:val="0"/>
      <w:divBdr>
        <w:top w:val="none" w:sz="0" w:space="0" w:color="auto"/>
        <w:left w:val="none" w:sz="0" w:space="0" w:color="auto"/>
        <w:bottom w:val="none" w:sz="0" w:space="0" w:color="auto"/>
        <w:right w:val="none" w:sz="0" w:space="0" w:color="auto"/>
      </w:divBdr>
    </w:div>
    <w:div w:id="422578461">
      <w:bodyDiv w:val="1"/>
      <w:marLeft w:val="0"/>
      <w:marRight w:val="0"/>
      <w:marTop w:val="0"/>
      <w:marBottom w:val="0"/>
      <w:divBdr>
        <w:top w:val="none" w:sz="0" w:space="0" w:color="auto"/>
        <w:left w:val="none" w:sz="0" w:space="0" w:color="auto"/>
        <w:bottom w:val="none" w:sz="0" w:space="0" w:color="auto"/>
        <w:right w:val="none" w:sz="0" w:space="0" w:color="auto"/>
      </w:divBdr>
    </w:div>
    <w:div w:id="437524545">
      <w:bodyDiv w:val="1"/>
      <w:marLeft w:val="0"/>
      <w:marRight w:val="0"/>
      <w:marTop w:val="0"/>
      <w:marBottom w:val="0"/>
      <w:divBdr>
        <w:top w:val="none" w:sz="0" w:space="0" w:color="auto"/>
        <w:left w:val="none" w:sz="0" w:space="0" w:color="auto"/>
        <w:bottom w:val="none" w:sz="0" w:space="0" w:color="auto"/>
        <w:right w:val="none" w:sz="0" w:space="0" w:color="auto"/>
      </w:divBdr>
    </w:div>
    <w:div w:id="443157755">
      <w:bodyDiv w:val="1"/>
      <w:marLeft w:val="0"/>
      <w:marRight w:val="0"/>
      <w:marTop w:val="0"/>
      <w:marBottom w:val="0"/>
      <w:divBdr>
        <w:top w:val="none" w:sz="0" w:space="0" w:color="auto"/>
        <w:left w:val="none" w:sz="0" w:space="0" w:color="auto"/>
        <w:bottom w:val="none" w:sz="0" w:space="0" w:color="auto"/>
        <w:right w:val="none" w:sz="0" w:space="0" w:color="auto"/>
      </w:divBdr>
    </w:div>
    <w:div w:id="458457055">
      <w:bodyDiv w:val="1"/>
      <w:marLeft w:val="0"/>
      <w:marRight w:val="0"/>
      <w:marTop w:val="0"/>
      <w:marBottom w:val="0"/>
      <w:divBdr>
        <w:top w:val="none" w:sz="0" w:space="0" w:color="auto"/>
        <w:left w:val="none" w:sz="0" w:space="0" w:color="auto"/>
        <w:bottom w:val="none" w:sz="0" w:space="0" w:color="auto"/>
        <w:right w:val="none" w:sz="0" w:space="0" w:color="auto"/>
      </w:divBdr>
    </w:div>
    <w:div w:id="460464238">
      <w:bodyDiv w:val="1"/>
      <w:marLeft w:val="0"/>
      <w:marRight w:val="0"/>
      <w:marTop w:val="0"/>
      <w:marBottom w:val="0"/>
      <w:divBdr>
        <w:top w:val="none" w:sz="0" w:space="0" w:color="auto"/>
        <w:left w:val="none" w:sz="0" w:space="0" w:color="auto"/>
        <w:bottom w:val="none" w:sz="0" w:space="0" w:color="auto"/>
        <w:right w:val="none" w:sz="0" w:space="0" w:color="auto"/>
      </w:divBdr>
    </w:div>
    <w:div w:id="461534457">
      <w:bodyDiv w:val="1"/>
      <w:marLeft w:val="0"/>
      <w:marRight w:val="0"/>
      <w:marTop w:val="0"/>
      <w:marBottom w:val="0"/>
      <w:divBdr>
        <w:top w:val="none" w:sz="0" w:space="0" w:color="auto"/>
        <w:left w:val="none" w:sz="0" w:space="0" w:color="auto"/>
        <w:bottom w:val="none" w:sz="0" w:space="0" w:color="auto"/>
        <w:right w:val="none" w:sz="0" w:space="0" w:color="auto"/>
      </w:divBdr>
    </w:div>
    <w:div w:id="462622866">
      <w:bodyDiv w:val="1"/>
      <w:marLeft w:val="0"/>
      <w:marRight w:val="0"/>
      <w:marTop w:val="0"/>
      <w:marBottom w:val="0"/>
      <w:divBdr>
        <w:top w:val="none" w:sz="0" w:space="0" w:color="auto"/>
        <w:left w:val="none" w:sz="0" w:space="0" w:color="auto"/>
        <w:bottom w:val="none" w:sz="0" w:space="0" w:color="auto"/>
        <w:right w:val="none" w:sz="0" w:space="0" w:color="auto"/>
      </w:divBdr>
    </w:div>
    <w:div w:id="465202800">
      <w:bodyDiv w:val="1"/>
      <w:marLeft w:val="0"/>
      <w:marRight w:val="0"/>
      <w:marTop w:val="0"/>
      <w:marBottom w:val="0"/>
      <w:divBdr>
        <w:top w:val="none" w:sz="0" w:space="0" w:color="auto"/>
        <w:left w:val="none" w:sz="0" w:space="0" w:color="auto"/>
        <w:bottom w:val="none" w:sz="0" w:space="0" w:color="auto"/>
        <w:right w:val="none" w:sz="0" w:space="0" w:color="auto"/>
      </w:divBdr>
    </w:div>
    <w:div w:id="467091713">
      <w:bodyDiv w:val="1"/>
      <w:marLeft w:val="0"/>
      <w:marRight w:val="0"/>
      <w:marTop w:val="0"/>
      <w:marBottom w:val="0"/>
      <w:divBdr>
        <w:top w:val="none" w:sz="0" w:space="0" w:color="auto"/>
        <w:left w:val="none" w:sz="0" w:space="0" w:color="auto"/>
        <w:bottom w:val="none" w:sz="0" w:space="0" w:color="auto"/>
        <w:right w:val="none" w:sz="0" w:space="0" w:color="auto"/>
      </w:divBdr>
    </w:div>
    <w:div w:id="469398556">
      <w:bodyDiv w:val="1"/>
      <w:marLeft w:val="0"/>
      <w:marRight w:val="0"/>
      <w:marTop w:val="0"/>
      <w:marBottom w:val="0"/>
      <w:divBdr>
        <w:top w:val="none" w:sz="0" w:space="0" w:color="auto"/>
        <w:left w:val="none" w:sz="0" w:space="0" w:color="auto"/>
        <w:bottom w:val="none" w:sz="0" w:space="0" w:color="auto"/>
        <w:right w:val="none" w:sz="0" w:space="0" w:color="auto"/>
      </w:divBdr>
    </w:div>
    <w:div w:id="475419078">
      <w:bodyDiv w:val="1"/>
      <w:marLeft w:val="0"/>
      <w:marRight w:val="0"/>
      <w:marTop w:val="0"/>
      <w:marBottom w:val="0"/>
      <w:divBdr>
        <w:top w:val="none" w:sz="0" w:space="0" w:color="auto"/>
        <w:left w:val="none" w:sz="0" w:space="0" w:color="auto"/>
        <w:bottom w:val="none" w:sz="0" w:space="0" w:color="auto"/>
        <w:right w:val="none" w:sz="0" w:space="0" w:color="auto"/>
      </w:divBdr>
    </w:div>
    <w:div w:id="475530506">
      <w:bodyDiv w:val="1"/>
      <w:marLeft w:val="0"/>
      <w:marRight w:val="0"/>
      <w:marTop w:val="0"/>
      <w:marBottom w:val="0"/>
      <w:divBdr>
        <w:top w:val="none" w:sz="0" w:space="0" w:color="auto"/>
        <w:left w:val="none" w:sz="0" w:space="0" w:color="auto"/>
        <w:bottom w:val="none" w:sz="0" w:space="0" w:color="auto"/>
        <w:right w:val="none" w:sz="0" w:space="0" w:color="auto"/>
      </w:divBdr>
    </w:div>
    <w:div w:id="490874765">
      <w:bodyDiv w:val="1"/>
      <w:marLeft w:val="0"/>
      <w:marRight w:val="0"/>
      <w:marTop w:val="0"/>
      <w:marBottom w:val="0"/>
      <w:divBdr>
        <w:top w:val="none" w:sz="0" w:space="0" w:color="auto"/>
        <w:left w:val="none" w:sz="0" w:space="0" w:color="auto"/>
        <w:bottom w:val="none" w:sz="0" w:space="0" w:color="auto"/>
        <w:right w:val="none" w:sz="0" w:space="0" w:color="auto"/>
      </w:divBdr>
      <w:divsChild>
        <w:div w:id="777141440">
          <w:marLeft w:val="0"/>
          <w:marRight w:val="0"/>
          <w:marTop w:val="0"/>
          <w:marBottom w:val="0"/>
          <w:divBdr>
            <w:top w:val="none" w:sz="0" w:space="0" w:color="auto"/>
            <w:left w:val="none" w:sz="0" w:space="0" w:color="auto"/>
            <w:bottom w:val="none" w:sz="0" w:space="0" w:color="auto"/>
            <w:right w:val="none" w:sz="0" w:space="0" w:color="auto"/>
          </w:divBdr>
        </w:div>
      </w:divsChild>
    </w:div>
    <w:div w:id="494690715">
      <w:bodyDiv w:val="1"/>
      <w:marLeft w:val="0"/>
      <w:marRight w:val="0"/>
      <w:marTop w:val="0"/>
      <w:marBottom w:val="0"/>
      <w:divBdr>
        <w:top w:val="none" w:sz="0" w:space="0" w:color="auto"/>
        <w:left w:val="none" w:sz="0" w:space="0" w:color="auto"/>
        <w:bottom w:val="none" w:sz="0" w:space="0" w:color="auto"/>
        <w:right w:val="none" w:sz="0" w:space="0" w:color="auto"/>
      </w:divBdr>
    </w:div>
    <w:div w:id="496968760">
      <w:bodyDiv w:val="1"/>
      <w:marLeft w:val="0"/>
      <w:marRight w:val="0"/>
      <w:marTop w:val="0"/>
      <w:marBottom w:val="0"/>
      <w:divBdr>
        <w:top w:val="none" w:sz="0" w:space="0" w:color="auto"/>
        <w:left w:val="none" w:sz="0" w:space="0" w:color="auto"/>
        <w:bottom w:val="none" w:sz="0" w:space="0" w:color="auto"/>
        <w:right w:val="none" w:sz="0" w:space="0" w:color="auto"/>
      </w:divBdr>
    </w:div>
    <w:div w:id="499974804">
      <w:bodyDiv w:val="1"/>
      <w:marLeft w:val="0"/>
      <w:marRight w:val="0"/>
      <w:marTop w:val="0"/>
      <w:marBottom w:val="0"/>
      <w:divBdr>
        <w:top w:val="none" w:sz="0" w:space="0" w:color="auto"/>
        <w:left w:val="none" w:sz="0" w:space="0" w:color="auto"/>
        <w:bottom w:val="none" w:sz="0" w:space="0" w:color="auto"/>
        <w:right w:val="none" w:sz="0" w:space="0" w:color="auto"/>
      </w:divBdr>
    </w:div>
    <w:div w:id="504131416">
      <w:bodyDiv w:val="1"/>
      <w:marLeft w:val="0"/>
      <w:marRight w:val="0"/>
      <w:marTop w:val="0"/>
      <w:marBottom w:val="0"/>
      <w:divBdr>
        <w:top w:val="none" w:sz="0" w:space="0" w:color="auto"/>
        <w:left w:val="none" w:sz="0" w:space="0" w:color="auto"/>
        <w:bottom w:val="none" w:sz="0" w:space="0" w:color="auto"/>
        <w:right w:val="none" w:sz="0" w:space="0" w:color="auto"/>
      </w:divBdr>
    </w:div>
    <w:div w:id="504563378">
      <w:bodyDiv w:val="1"/>
      <w:marLeft w:val="0"/>
      <w:marRight w:val="0"/>
      <w:marTop w:val="0"/>
      <w:marBottom w:val="0"/>
      <w:divBdr>
        <w:top w:val="none" w:sz="0" w:space="0" w:color="auto"/>
        <w:left w:val="none" w:sz="0" w:space="0" w:color="auto"/>
        <w:bottom w:val="none" w:sz="0" w:space="0" w:color="auto"/>
        <w:right w:val="none" w:sz="0" w:space="0" w:color="auto"/>
      </w:divBdr>
    </w:div>
    <w:div w:id="505707479">
      <w:bodyDiv w:val="1"/>
      <w:marLeft w:val="0"/>
      <w:marRight w:val="0"/>
      <w:marTop w:val="0"/>
      <w:marBottom w:val="0"/>
      <w:divBdr>
        <w:top w:val="none" w:sz="0" w:space="0" w:color="auto"/>
        <w:left w:val="none" w:sz="0" w:space="0" w:color="auto"/>
        <w:bottom w:val="none" w:sz="0" w:space="0" w:color="auto"/>
        <w:right w:val="none" w:sz="0" w:space="0" w:color="auto"/>
      </w:divBdr>
    </w:div>
    <w:div w:id="513888210">
      <w:bodyDiv w:val="1"/>
      <w:marLeft w:val="0"/>
      <w:marRight w:val="0"/>
      <w:marTop w:val="0"/>
      <w:marBottom w:val="0"/>
      <w:divBdr>
        <w:top w:val="none" w:sz="0" w:space="0" w:color="auto"/>
        <w:left w:val="none" w:sz="0" w:space="0" w:color="auto"/>
        <w:bottom w:val="none" w:sz="0" w:space="0" w:color="auto"/>
        <w:right w:val="none" w:sz="0" w:space="0" w:color="auto"/>
      </w:divBdr>
    </w:div>
    <w:div w:id="518932691">
      <w:bodyDiv w:val="1"/>
      <w:marLeft w:val="0"/>
      <w:marRight w:val="0"/>
      <w:marTop w:val="0"/>
      <w:marBottom w:val="0"/>
      <w:divBdr>
        <w:top w:val="none" w:sz="0" w:space="0" w:color="auto"/>
        <w:left w:val="none" w:sz="0" w:space="0" w:color="auto"/>
        <w:bottom w:val="none" w:sz="0" w:space="0" w:color="auto"/>
        <w:right w:val="none" w:sz="0" w:space="0" w:color="auto"/>
      </w:divBdr>
    </w:div>
    <w:div w:id="523398511">
      <w:bodyDiv w:val="1"/>
      <w:marLeft w:val="0"/>
      <w:marRight w:val="0"/>
      <w:marTop w:val="0"/>
      <w:marBottom w:val="0"/>
      <w:divBdr>
        <w:top w:val="none" w:sz="0" w:space="0" w:color="auto"/>
        <w:left w:val="none" w:sz="0" w:space="0" w:color="auto"/>
        <w:bottom w:val="none" w:sz="0" w:space="0" w:color="auto"/>
        <w:right w:val="none" w:sz="0" w:space="0" w:color="auto"/>
      </w:divBdr>
    </w:div>
    <w:div w:id="525556695">
      <w:bodyDiv w:val="1"/>
      <w:marLeft w:val="0"/>
      <w:marRight w:val="0"/>
      <w:marTop w:val="0"/>
      <w:marBottom w:val="0"/>
      <w:divBdr>
        <w:top w:val="none" w:sz="0" w:space="0" w:color="auto"/>
        <w:left w:val="none" w:sz="0" w:space="0" w:color="auto"/>
        <w:bottom w:val="none" w:sz="0" w:space="0" w:color="auto"/>
        <w:right w:val="none" w:sz="0" w:space="0" w:color="auto"/>
      </w:divBdr>
    </w:div>
    <w:div w:id="525874834">
      <w:bodyDiv w:val="1"/>
      <w:marLeft w:val="0"/>
      <w:marRight w:val="0"/>
      <w:marTop w:val="0"/>
      <w:marBottom w:val="0"/>
      <w:divBdr>
        <w:top w:val="none" w:sz="0" w:space="0" w:color="auto"/>
        <w:left w:val="none" w:sz="0" w:space="0" w:color="auto"/>
        <w:bottom w:val="none" w:sz="0" w:space="0" w:color="auto"/>
        <w:right w:val="none" w:sz="0" w:space="0" w:color="auto"/>
      </w:divBdr>
    </w:div>
    <w:div w:id="535125248">
      <w:bodyDiv w:val="1"/>
      <w:marLeft w:val="0"/>
      <w:marRight w:val="0"/>
      <w:marTop w:val="0"/>
      <w:marBottom w:val="0"/>
      <w:divBdr>
        <w:top w:val="none" w:sz="0" w:space="0" w:color="auto"/>
        <w:left w:val="none" w:sz="0" w:space="0" w:color="auto"/>
        <w:bottom w:val="none" w:sz="0" w:space="0" w:color="auto"/>
        <w:right w:val="none" w:sz="0" w:space="0" w:color="auto"/>
      </w:divBdr>
    </w:div>
    <w:div w:id="542136602">
      <w:bodyDiv w:val="1"/>
      <w:marLeft w:val="0"/>
      <w:marRight w:val="0"/>
      <w:marTop w:val="0"/>
      <w:marBottom w:val="0"/>
      <w:divBdr>
        <w:top w:val="none" w:sz="0" w:space="0" w:color="auto"/>
        <w:left w:val="none" w:sz="0" w:space="0" w:color="auto"/>
        <w:bottom w:val="none" w:sz="0" w:space="0" w:color="auto"/>
        <w:right w:val="none" w:sz="0" w:space="0" w:color="auto"/>
      </w:divBdr>
    </w:div>
    <w:div w:id="552816780">
      <w:bodyDiv w:val="1"/>
      <w:marLeft w:val="0"/>
      <w:marRight w:val="0"/>
      <w:marTop w:val="0"/>
      <w:marBottom w:val="0"/>
      <w:divBdr>
        <w:top w:val="none" w:sz="0" w:space="0" w:color="auto"/>
        <w:left w:val="none" w:sz="0" w:space="0" w:color="auto"/>
        <w:bottom w:val="none" w:sz="0" w:space="0" w:color="auto"/>
        <w:right w:val="none" w:sz="0" w:space="0" w:color="auto"/>
      </w:divBdr>
    </w:div>
    <w:div w:id="567036519">
      <w:bodyDiv w:val="1"/>
      <w:marLeft w:val="0"/>
      <w:marRight w:val="0"/>
      <w:marTop w:val="0"/>
      <w:marBottom w:val="0"/>
      <w:divBdr>
        <w:top w:val="none" w:sz="0" w:space="0" w:color="auto"/>
        <w:left w:val="none" w:sz="0" w:space="0" w:color="auto"/>
        <w:bottom w:val="none" w:sz="0" w:space="0" w:color="auto"/>
        <w:right w:val="none" w:sz="0" w:space="0" w:color="auto"/>
      </w:divBdr>
    </w:div>
    <w:div w:id="570697294">
      <w:bodyDiv w:val="1"/>
      <w:marLeft w:val="0"/>
      <w:marRight w:val="0"/>
      <w:marTop w:val="0"/>
      <w:marBottom w:val="0"/>
      <w:divBdr>
        <w:top w:val="none" w:sz="0" w:space="0" w:color="auto"/>
        <w:left w:val="none" w:sz="0" w:space="0" w:color="auto"/>
        <w:bottom w:val="none" w:sz="0" w:space="0" w:color="auto"/>
        <w:right w:val="none" w:sz="0" w:space="0" w:color="auto"/>
      </w:divBdr>
    </w:div>
    <w:div w:id="576792346">
      <w:bodyDiv w:val="1"/>
      <w:marLeft w:val="0"/>
      <w:marRight w:val="0"/>
      <w:marTop w:val="0"/>
      <w:marBottom w:val="0"/>
      <w:divBdr>
        <w:top w:val="none" w:sz="0" w:space="0" w:color="auto"/>
        <w:left w:val="none" w:sz="0" w:space="0" w:color="auto"/>
        <w:bottom w:val="none" w:sz="0" w:space="0" w:color="auto"/>
        <w:right w:val="none" w:sz="0" w:space="0" w:color="auto"/>
      </w:divBdr>
    </w:div>
    <w:div w:id="577398134">
      <w:bodyDiv w:val="1"/>
      <w:marLeft w:val="0"/>
      <w:marRight w:val="0"/>
      <w:marTop w:val="0"/>
      <w:marBottom w:val="0"/>
      <w:divBdr>
        <w:top w:val="none" w:sz="0" w:space="0" w:color="auto"/>
        <w:left w:val="none" w:sz="0" w:space="0" w:color="auto"/>
        <w:bottom w:val="none" w:sz="0" w:space="0" w:color="auto"/>
        <w:right w:val="none" w:sz="0" w:space="0" w:color="auto"/>
      </w:divBdr>
    </w:div>
    <w:div w:id="586303895">
      <w:bodyDiv w:val="1"/>
      <w:marLeft w:val="0"/>
      <w:marRight w:val="0"/>
      <w:marTop w:val="0"/>
      <w:marBottom w:val="0"/>
      <w:divBdr>
        <w:top w:val="none" w:sz="0" w:space="0" w:color="auto"/>
        <w:left w:val="none" w:sz="0" w:space="0" w:color="auto"/>
        <w:bottom w:val="none" w:sz="0" w:space="0" w:color="auto"/>
        <w:right w:val="none" w:sz="0" w:space="0" w:color="auto"/>
      </w:divBdr>
    </w:div>
    <w:div w:id="588657695">
      <w:bodyDiv w:val="1"/>
      <w:marLeft w:val="0"/>
      <w:marRight w:val="0"/>
      <w:marTop w:val="0"/>
      <w:marBottom w:val="0"/>
      <w:divBdr>
        <w:top w:val="none" w:sz="0" w:space="0" w:color="auto"/>
        <w:left w:val="none" w:sz="0" w:space="0" w:color="auto"/>
        <w:bottom w:val="none" w:sz="0" w:space="0" w:color="auto"/>
        <w:right w:val="none" w:sz="0" w:space="0" w:color="auto"/>
      </w:divBdr>
    </w:div>
    <w:div w:id="593712711">
      <w:bodyDiv w:val="1"/>
      <w:marLeft w:val="0"/>
      <w:marRight w:val="0"/>
      <w:marTop w:val="0"/>
      <w:marBottom w:val="0"/>
      <w:divBdr>
        <w:top w:val="none" w:sz="0" w:space="0" w:color="auto"/>
        <w:left w:val="none" w:sz="0" w:space="0" w:color="auto"/>
        <w:bottom w:val="none" w:sz="0" w:space="0" w:color="auto"/>
        <w:right w:val="none" w:sz="0" w:space="0" w:color="auto"/>
      </w:divBdr>
    </w:div>
    <w:div w:id="602299826">
      <w:bodyDiv w:val="1"/>
      <w:marLeft w:val="0"/>
      <w:marRight w:val="0"/>
      <w:marTop w:val="0"/>
      <w:marBottom w:val="0"/>
      <w:divBdr>
        <w:top w:val="none" w:sz="0" w:space="0" w:color="auto"/>
        <w:left w:val="none" w:sz="0" w:space="0" w:color="auto"/>
        <w:bottom w:val="none" w:sz="0" w:space="0" w:color="auto"/>
        <w:right w:val="none" w:sz="0" w:space="0" w:color="auto"/>
      </w:divBdr>
    </w:div>
    <w:div w:id="602302200">
      <w:bodyDiv w:val="1"/>
      <w:marLeft w:val="0"/>
      <w:marRight w:val="0"/>
      <w:marTop w:val="0"/>
      <w:marBottom w:val="0"/>
      <w:divBdr>
        <w:top w:val="none" w:sz="0" w:space="0" w:color="auto"/>
        <w:left w:val="none" w:sz="0" w:space="0" w:color="auto"/>
        <w:bottom w:val="none" w:sz="0" w:space="0" w:color="auto"/>
        <w:right w:val="none" w:sz="0" w:space="0" w:color="auto"/>
      </w:divBdr>
    </w:div>
    <w:div w:id="604582169">
      <w:bodyDiv w:val="1"/>
      <w:marLeft w:val="0"/>
      <w:marRight w:val="0"/>
      <w:marTop w:val="0"/>
      <w:marBottom w:val="0"/>
      <w:divBdr>
        <w:top w:val="none" w:sz="0" w:space="0" w:color="auto"/>
        <w:left w:val="none" w:sz="0" w:space="0" w:color="auto"/>
        <w:bottom w:val="none" w:sz="0" w:space="0" w:color="auto"/>
        <w:right w:val="none" w:sz="0" w:space="0" w:color="auto"/>
      </w:divBdr>
    </w:div>
    <w:div w:id="609313190">
      <w:bodyDiv w:val="1"/>
      <w:marLeft w:val="0"/>
      <w:marRight w:val="0"/>
      <w:marTop w:val="0"/>
      <w:marBottom w:val="0"/>
      <w:divBdr>
        <w:top w:val="none" w:sz="0" w:space="0" w:color="auto"/>
        <w:left w:val="none" w:sz="0" w:space="0" w:color="auto"/>
        <w:bottom w:val="none" w:sz="0" w:space="0" w:color="auto"/>
        <w:right w:val="none" w:sz="0" w:space="0" w:color="auto"/>
      </w:divBdr>
    </w:div>
    <w:div w:id="615453453">
      <w:bodyDiv w:val="1"/>
      <w:marLeft w:val="0"/>
      <w:marRight w:val="0"/>
      <w:marTop w:val="0"/>
      <w:marBottom w:val="0"/>
      <w:divBdr>
        <w:top w:val="none" w:sz="0" w:space="0" w:color="auto"/>
        <w:left w:val="none" w:sz="0" w:space="0" w:color="auto"/>
        <w:bottom w:val="none" w:sz="0" w:space="0" w:color="auto"/>
        <w:right w:val="none" w:sz="0" w:space="0" w:color="auto"/>
      </w:divBdr>
    </w:div>
    <w:div w:id="622855675">
      <w:bodyDiv w:val="1"/>
      <w:marLeft w:val="0"/>
      <w:marRight w:val="0"/>
      <w:marTop w:val="0"/>
      <w:marBottom w:val="0"/>
      <w:divBdr>
        <w:top w:val="none" w:sz="0" w:space="0" w:color="auto"/>
        <w:left w:val="none" w:sz="0" w:space="0" w:color="auto"/>
        <w:bottom w:val="none" w:sz="0" w:space="0" w:color="auto"/>
        <w:right w:val="none" w:sz="0" w:space="0" w:color="auto"/>
      </w:divBdr>
    </w:div>
    <w:div w:id="634258772">
      <w:bodyDiv w:val="1"/>
      <w:marLeft w:val="0"/>
      <w:marRight w:val="0"/>
      <w:marTop w:val="0"/>
      <w:marBottom w:val="0"/>
      <w:divBdr>
        <w:top w:val="none" w:sz="0" w:space="0" w:color="auto"/>
        <w:left w:val="none" w:sz="0" w:space="0" w:color="auto"/>
        <w:bottom w:val="none" w:sz="0" w:space="0" w:color="auto"/>
        <w:right w:val="none" w:sz="0" w:space="0" w:color="auto"/>
      </w:divBdr>
    </w:div>
    <w:div w:id="634875183">
      <w:bodyDiv w:val="1"/>
      <w:marLeft w:val="0"/>
      <w:marRight w:val="0"/>
      <w:marTop w:val="0"/>
      <w:marBottom w:val="0"/>
      <w:divBdr>
        <w:top w:val="none" w:sz="0" w:space="0" w:color="auto"/>
        <w:left w:val="none" w:sz="0" w:space="0" w:color="auto"/>
        <w:bottom w:val="none" w:sz="0" w:space="0" w:color="auto"/>
        <w:right w:val="none" w:sz="0" w:space="0" w:color="auto"/>
      </w:divBdr>
    </w:div>
    <w:div w:id="635836508">
      <w:bodyDiv w:val="1"/>
      <w:marLeft w:val="0"/>
      <w:marRight w:val="0"/>
      <w:marTop w:val="0"/>
      <w:marBottom w:val="0"/>
      <w:divBdr>
        <w:top w:val="none" w:sz="0" w:space="0" w:color="auto"/>
        <w:left w:val="none" w:sz="0" w:space="0" w:color="auto"/>
        <w:bottom w:val="none" w:sz="0" w:space="0" w:color="auto"/>
        <w:right w:val="none" w:sz="0" w:space="0" w:color="auto"/>
      </w:divBdr>
    </w:div>
    <w:div w:id="639192709">
      <w:bodyDiv w:val="1"/>
      <w:marLeft w:val="0"/>
      <w:marRight w:val="0"/>
      <w:marTop w:val="0"/>
      <w:marBottom w:val="0"/>
      <w:divBdr>
        <w:top w:val="none" w:sz="0" w:space="0" w:color="auto"/>
        <w:left w:val="none" w:sz="0" w:space="0" w:color="auto"/>
        <w:bottom w:val="none" w:sz="0" w:space="0" w:color="auto"/>
        <w:right w:val="none" w:sz="0" w:space="0" w:color="auto"/>
      </w:divBdr>
    </w:div>
    <w:div w:id="643506343">
      <w:bodyDiv w:val="1"/>
      <w:marLeft w:val="0"/>
      <w:marRight w:val="0"/>
      <w:marTop w:val="0"/>
      <w:marBottom w:val="0"/>
      <w:divBdr>
        <w:top w:val="none" w:sz="0" w:space="0" w:color="auto"/>
        <w:left w:val="none" w:sz="0" w:space="0" w:color="auto"/>
        <w:bottom w:val="none" w:sz="0" w:space="0" w:color="auto"/>
        <w:right w:val="none" w:sz="0" w:space="0" w:color="auto"/>
      </w:divBdr>
    </w:div>
    <w:div w:id="645090452">
      <w:bodyDiv w:val="1"/>
      <w:marLeft w:val="0"/>
      <w:marRight w:val="0"/>
      <w:marTop w:val="0"/>
      <w:marBottom w:val="0"/>
      <w:divBdr>
        <w:top w:val="none" w:sz="0" w:space="0" w:color="auto"/>
        <w:left w:val="none" w:sz="0" w:space="0" w:color="auto"/>
        <w:bottom w:val="none" w:sz="0" w:space="0" w:color="auto"/>
        <w:right w:val="none" w:sz="0" w:space="0" w:color="auto"/>
      </w:divBdr>
    </w:div>
    <w:div w:id="645164035">
      <w:bodyDiv w:val="1"/>
      <w:marLeft w:val="0"/>
      <w:marRight w:val="0"/>
      <w:marTop w:val="0"/>
      <w:marBottom w:val="0"/>
      <w:divBdr>
        <w:top w:val="none" w:sz="0" w:space="0" w:color="auto"/>
        <w:left w:val="none" w:sz="0" w:space="0" w:color="auto"/>
        <w:bottom w:val="none" w:sz="0" w:space="0" w:color="auto"/>
        <w:right w:val="none" w:sz="0" w:space="0" w:color="auto"/>
      </w:divBdr>
    </w:div>
    <w:div w:id="648827848">
      <w:bodyDiv w:val="1"/>
      <w:marLeft w:val="0"/>
      <w:marRight w:val="0"/>
      <w:marTop w:val="0"/>
      <w:marBottom w:val="0"/>
      <w:divBdr>
        <w:top w:val="none" w:sz="0" w:space="0" w:color="auto"/>
        <w:left w:val="none" w:sz="0" w:space="0" w:color="auto"/>
        <w:bottom w:val="none" w:sz="0" w:space="0" w:color="auto"/>
        <w:right w:val="none" w:sz="0" w:space="0" w:color="auto"/>
      </w:divBdr>
    </w:div>
    <w:div w:id="652418804">
      <w:bodyDiv w:val="1"/>
      <w:marLeft w:val="0"/>
      <w:marRight w:val="0"/>
      <w:marTop w:val="0"/>
      <w:marBottom w:val="0"/>
      <w:divBdr>
        <w:top w:val="none" w:sz="0" w:space="0" w:color="auto"/>
        <w:left w:val="none" w:sz="0" w:space="0" w:color="auto"/>
        <w:bottom w:val="none" w:sz="0" w:space="0" w:color="auto"/>
        <w:right w:val="none" w:sz="0" w:space="0" w:color="auto"/>
      </w:divBdr>
    </w:div>
    <w:div w:id="671957055">
      <w:bodyDiv w:val="1"/>
      <w:marLeft w:val="0"/>
      <w:marRight w:val="0"/>
      <w:marTop w:val="0"/>
      <w:marBottom w:val="0"/>
      <w:divBdr>
        <w:top w:val="none" w:sz="0" w:space="0" w:color="auto"/>
        <w:left w:val="none" w:sz="0" w:space="0" w:color="auto"/>
        <w:bottom w:val="none" w:sz="0" w:space="0" w:color="auto"/>
        <w:right w:val="none" w:sz="0" w:space="0" w:color="auto"/>
      </w:divBdr>
    </w:div>
    <w:div w:id="683822873">
      <w:bodyDiv w:val="1"/>
      <w:marLeft w:val="0"/>
      <w:marRight w:val="0"/>
      <w:marTop w:val="0"/>
      <w:marBottom w:val="0"/>
      <w:divBdr>
        <w:top w:val="none" w:sz="0" w:space="0" w:color="auto"/>
        <w:left w:val="none" w:sz="0" w:space="0" w:color="auto"/>
        <w:bottom w:val="none" w:sz="0" w:space="0" w:color="auto"/>
        <w:right w:val="none" w:sz="0" w:space="0" w:color="auto"/>
      </w:divBdr>
    </w:div>
    <w:div w:id="687410472">
      <w:bodyDiv w:val="1"/>
      <w:marLeft w:val="0"/>
      <w:marRight w:val="0"/>
      <w:marTop w:val="0"/>
      <w:marBottom w:val="0"/>
      <w:divBdr>
        <w:top w:val="none" w:sz="0" w:space="0" w:color="auto"/>
        <w:left w:val="none" w:sz="0" w:space="0" w:color="auto"/>
        <w:bottom w:val="none" w:sz="0" w:space="0" w:color="auto"/>
        <w:right w:val="none" w:sz="0" w:space="0" w:color="auto"/>
      </w:divBdr>
    </w:div>
    <w:div w:id="690840042">
      <w:bodyDiv w:val="1"/>
      <w:marLeft w:val="0"/>
      <w:marRight w:val="0"/>
      <w:marTop w:val="0"/>
      <w:marBottom w:val="0"/>
      <w:divBdr>
        <w:top w:val="none" w:sz="0" w:space="0" w:color="auto"/>
        <w:left w:val="none" w:sz="0" w:space="0" w:color="auto"/>
        <w:bottom w:val="none" w:sz="0" w:space="0" w:color="auto"/>
        <w:right w:val="none" w:sz="0" w:space="0" w:color="auto"/>
      </w:divBdr>
    </w:div>
    <w:div w:id="690885113">
      <w:bodyDiv w:val="1"/>
      <w:marLeft w:val="0"/>
      <w:marRight w:val="0"/>
      <w:marTop w:val="0"/>
      <w:marBottom w:val="0"/>
      <w:divBdr>
        <w:top w:val="none" w:sz="0" w:space="0" w:color="auto"/>
        <w:left w:val="none" w:sz="0" w:space="0" w:color="auto"/>
        <w:bottom w:val="none" w:sz="0" w:space="0" w:color="auto"/>
        <w:right w:val="none" w:sz="0" w:space="0" w:color="auto"/>
      </w:divBdr>
    </w:div>
    <w:div w:id="701318518">
      <w:bodyDiv w:val="1"/>
      <w:marLeft w:val="0"/>
      <w:marRight w:val="0"/>
      <w:marTop w:val="0"/>
      <w:marBottom w:val="0"/>
      <w:divBdr>
        <w:top w:val="none" w:sz="0" w:space="0" w:color="auto"/>
        <w:left w:val="none" w:sz="0" w:space="0" w:color="auto"/>
        <w:bottom w:val="none" w:sz="0" w:space="0" w:color="auto"/>
        <w:right w:val="none" w:sz="0" w:space="0" w:color="auto"/>
      </w:divBdr>
    </w:div>
    <w:div w:id="702484830">
      <w:bodyDiv w:val="1"/>
      <w:marLeft w:val="0"/>
      <w:marRight w:val="0"/>
      <w:marTop w:val="0"/>
      <w:marBottom w:val="0"/>
      <w:divBdr>
        <w:top w:val="none" w:sz="0" w:space="0" w:color="auto"/>
        <w:left w:val="none" w:sz="0" w:space="0" w:color="auto"/>
        <w:bottom w:val="none" w:sz="0" w:space="0" w:color="auto"/>
        <w:right w:val="none" w:sz="0" w:space="0" w:color="auto"/>
      </w:divBdr>
    </w:div>
    <w:div w:id="707604557">
      <w:bodyDiv w:val="1"/>
      <w:marLeft w:val="0"/>
      <w:marRight w:val="0"/>
      <w:marTop w:val="0"/>
      <w:marBottom w:val="0"/>
      <w:divBdr>
        <w:top w:val="none" w:sz="0" w:space="0" w:color="auto"/>
        <w:left w:val="none" w:sz="0" w:space="0" w:color="auto"/>
        <w:bottom w:val="none" w:sz="0" w:space="0" w:color="auto"/>
        <w:right w:val="none" w:sz="0" w:space="0" w:color="auto"/>
      </w:divBdr>
    </w:div>
    <w:div w:id="708919436">
      <w:bodyDiv w:val="1"/>
      <w:marLeft w:val="0"/>
      <w:marRight w:val="0"/>
      <w:marTop w:val="0"/>
      <w:marBottom w:val="0"/>
      <w:divBdr>
        <w:top w:val="none" w:sz="0" w:space="0" w:color="auto"/>
        <w:left w:val="none" w:sz="0" w:space="0" w:color="auto"/>
        <w:bottom w:val="none" w:sz="0" w:space="0" w:color="auto"/>
        <w:right w:val="none" w:sz="0" w:space="0" w:color="auto"/>
      </w:divBdr>
    </w:div>
    <w:div w:id="709721212">
      <w:bodyDiv w:val="1"/>
      <w:marLeft w:val="0"/>
      <w:marRight w:val="0"/>
      <w:marTop w:val="0"/>
      <w:marBottom w:val="0"/>
      <w:divBdr>
        <w:top w:val="none" w:sz="0" w:space="0" w:color="auto"/>
        <w:left w:val="none" w:sz="0" w:space="0" w:color="auto"/>
        <w:bottom w:val="none" w:sz="0" w:space="0" w:color="auto"/>
        <w:right w:val="none" w:sz="0" w:space="0" w:color="auto"/>
      </w:divBdr>
    </w:div>
    <w:div w:id="713195237">
      <w:bodyDiv w:val="1"/>
      <w:marLeft w:val="0"/>
      <w:marRight w:val="0"/>
      <w:marTop w:val="0"/>
      <w:marBottom w:val="0"/>
      <w:divBdr>
        <w:top w:val="none" w:sz="0" w:space="0" w:color="auto"/>
        <w:left w:val="none" w:sz="0" w:space="0" w:color="auto"/>
        <w:bottom w:val="none" w:sz="0" w:space="0" w:color="auto"/>
        <w:right w:val="none" w:sz="0" w:space="0" w:color="auto"/>
      </w:divBdr>
    </w:div>
    <w:div w:id="726799691">
      <w:bodyDiv w:val="1"/>
      <w:marLeft w:val="0"/>
      <w:marRight w:val="0"/>
      <w:marTop w:val="0"/>
      <w:marBottom w:val="0"/>
      <w:divBdr>
        <w:top w:val="none" w:sz="0" w:space="0" w:color="auto"/>
        <w:left w:val="none" w:sz="0" w:space="0" w:color="auto"/>
        <w:bottom w:val="none" w:sz="0" w:space="0" w:color="auto"/>
        <w:right w:val="none" w:sz="0" w:space="0" w:color="auto"/>
      </w:divBdr>
    </w:div>
    <w:div w:id="727652453">
      <w:bodyDiv w:val="1"/>
      <w:marLeft w:val="0"/>
      <w:marRight w:val="0"/>
      <w:marTop w:val="0"/>
      <w:marBottom w:val="0"/>
      <w:divBdr>
        <w:top w:val="none" w:sz="0" w:space="0" w:color="auto"/>
        <w:left w:val="none" w:sz="0" w:space="0" w:color="auto"/>
        <w:bottom w:val="none" w:sz="0" w:space="0" w:color="auto"/>
        <w:right w:val="none" w:sz="0" w:space="0" w:color="auto"/>
      </w:divBdr>
    </w:div>
    <w:div w:id="729428002">
      <w:bodyDiv w:val="1"/>
      <w:marLeft w:val="0"/>
      <w:marRight w:val="0"/>
      <w:marTop w:val="0"/>
      <w:marBottom w:val="0"/>
      <w:divBdr>
        <w:top w:val="none" w:sz="0" w:space="0" w:color="auto"/>
        <w:left w:val="none" w:sz="0" w:space="0" w:color="auto"/>
        <w:bottom w:val="none" w:sz="0" w:space="0" w:color="auto"/>
        <w:right w:val="none" w:sz="0" w:space="0" w:color="auto"/>
      </w:divBdr>
    </w:div>
    <w:div w:id="730345403">
      <w:bodyDiv w:val="1"/>
      <w:marLeft w:val="0"/>
      <w:marRight w:val="0"/>
      <w:marTop w:val="0"/>
      <w:marBottom w:val="0"/>
      <w:divBdr>
        <w:top w:val="none" w:sz="0" w:space="0" w:color="auto"/>
        <w:left w:val="none" w:sz="0" w:space="0" w:color="auto"/>
        <w:bottom w:val="none" w:sz="0" w:space="0" w:color="auto"/>
        <w:right w:val="none" w:sz="0" w:space="0" w:color="auto"/>
      </w:divBdr>
    </w:div>
    <w:div w:id="733433773">
      <w:bodyDiv w:val="1"/>
      <w:marLeft w:val="0"/>
      <w:marRight w:val="0"/>
      <w:marTop w:val="0"/>
      <w:marBottom w:val="0"/>
      <w:divBdr>
        <w:top w:val="none" w:sz="0" w:space="0" w:color="auto"/>
        <w:left w:val="none" w:sz="0" w:space="0" w:color="auto"/>
        <w:bottom w:val="none" w:sz="0" w:space="0" w:color="auto"/>
        <w:right w:val="none" w:sz="0" w:space="0" w:color="auto"/>
      </w:divBdr>
    </w:div>
    <w:div w:id="734740878">
      <w:bodyDiv w:val="1"/>
      <w:marLeft w:val="0"/>
      <w:marRight w:val="0"/>
      <w:marTop w:val="0"/>
      <w:marBottom w:val="0"/>
      <w:divBdr>
        <w:top w:val="none" w:sz="0" w:space="0" w:color="auto"/>
        <w:left w:val="none" w:sz="0" w:space="0" w:color="auto"/>
        <w:bottom w:val="none" w:sz="0" w:space="0" w:color="auto"/>
        <w:right w:val="none" w:sz="0" w:space="0" w:color="auto"/>
      </w:divBdr>
    </w:div>
    <w:div w:id="741369155">
      <w:bodyDiv w:val="1"/>
      <w:marLeft w:val="0"/>
      <w:marRight w:val="0"/>
      <w:marTop w:val="0"/>
      <w:marBottom w:val="0"/>
      <w:divBdr>
        <w:top w:val="none" w:sz="0" w:space="0" w:color="auto"/>
        <w:left w:val="none" w:sz="0" w:space="0" w:color="auto"/>
        <w:bottom w:val="none" w:sz="0" w:space="0" w:color="auto"/>
        <w:right w:val="none" w:sz="0" w:space="0" w:color="auto"/>
      </w:divBdr>
    </w:div>
    <w:div w:id="744835876">
      <w:bodyDiv w:val="1"/>
      <w:marLeft w:val="0"/>
      <w:marRight w:val="0"/>
      <w:marTop w:val="0"/>
      <w:marBottom w:val="0"/>
      <w:divBdr>
        <w:top w:val="none" w:sz="0" w:space="0" w:color="auto"/>
        <w:left w:val="none" w:sz="0" w:space="0" w:color="auto"/>
        <w:bottom w:val="none" w:sz="0" w:space="0" w:color="auto"/>
        <w:right w:val="none" w:sz="0" w:space="0" w:color="auto"/>
      </w:divBdr>
    </w:div>
    <w:div w:id="746809535">
      <w:bodyDiv w:val="1"/>
      <w:marLeft w:val="0"/>
      <w:marRight w:val="0"/>
      <w:marTop w:val="0"/>
      <w:marBottom w:val="0"/>
      <w:divBdr>
        <w:top w:val="none" w:sz="0" w:space="0" w:color="auto"/>
        <w:left w:val="none" w:sz="0" w:space="0" w:color="auto"/>
        <w:bottom w:val="none" w:sz="0" w:space="0" w:color="auto"/>
        <w:right w:val="none" w:sz="0" w:space="0" w:color="auto"/>
      </w:divBdr>
    </w:div>
    <w:div w:id="751663949">
      <w:bodyDiv w:val="1"/>
      <w:marLeft w:val="0"/>
      <w:marRight w:val="0"/>
      <w:marTop w:val="0"/>
      <w:marBottom w:val="0"/>
      <w:divBdr>
        <w:top w:val="none" w:sz="0" w:space="0" w:color="auto"/>
        <w:left w:val="none" w:sz="0" w:space="0" w:color="auto"/>
        <w:bottom w:val="none" w:sz="0" w:space="0" w:color="auto"/>
        <w:right w:val="none" w:sz="0" w:space="0" w:color="auto"/>
      </w:divBdr>
    </w:div>
    <w:div w:id="758597390">
      <w:bodyDiv w:val="1"/>
      <w:marLeft w:val="0"/>
      <w:marRight w:val="0"/>
      <w:marTop w:val="0"/>
      <w:marBottom w:val="0"/>
      <w:divBdr>
        <w:top w:val="none" w:sz="0" w:space="0" w:color="auto"/>
        <w:left w:val="none" w:sz="0" w:space="0" w:color="auto"/>
        <w:bottom w:val="none" w:sz="0" w:space="0" w:color="auto"/>
        <w:right w:val="none" w:sz="0" w:space="0" w:color="auto"/>
      </w:divBdr>
    </w:div>
    <w:div w:id="760567885">
      <w:bodyDiv w:val="1"/>
      <w:marLeft w:val="0"/>
      <w:marRight w:val="0"/>
      <w:marTop w:val="0"/>
      <w:marBottom w:val="0"/>
      <w:divBdr>
        <w:top w:val="none" w:sz="0" w:space="0" w:color="auto"/>
        <w:left w:val="none" w:sz="0" w:space="0" w:color="auto"/>
        <w:bottom w:val="none" w:sz="0" w:space="0" w:color="auto"/>
        <w:right w:val="none" w:sz="0" w:space="0" w:color="auto"/>
      </w:divBdr>
    </w:div>
    <w:div w:id="769816072">
      <w:bodyDiv w:val="1"/>
      <w:marLeft w:val="0"/>
      <w:marRight w:val="0"/>
      <w:marTop w:val="0"/>
      <w:marBottom w:val="0"/>
      <w:divBdr>
        <w:top w:val="none" w:sz="0" w:space="0" w:color="auto"/>
        <w:left w:val="none" w:sz="0" w:space="0" w:color="auto"/>
        <w:bottom w:val="none" w:sz="0" w:space="0" w:color="auto"/>
        <w:right w:val="none" w:sz="0" w:space="0" w:color="auto"/>
      </w:divBdr>
    </w:div>
    <w:div w:id="775828833">
      <w:bodyDiv w:val="1"/>
      <w:marLeft w:val="0"/>
      <w:marRight w:val="0"/>
      <w:marTop w:val="0"/>
      <w:marBottom w:val="0"/>
      <w:divBdr>
        <w:top w:val="none" w:sz="0" w:space="0" w:color="auto"/>
        <w:left w:val="none" w:sz="0" w:space="0" w:color="auto"/>
        <w:bottom w:val="none" w:sz="0" w:space="0" w:color="auto"/>
        <w:right w:val="none" w:sz="0" w:space="0" w:color="auto"/>
      </w:divBdr>
    </w:div>
    <w:div w:id="786891949">
      <w:bodyDiv w:val="1"/>
      <w:marLeft w:val="0"/>
      <w:marRight w:val="0"/>
      <w:marTop w:val="0"/>
      <w:marBottom w:val="0"/>
      <w:divBdr>
        <w:top w:val="none" w:sz="0" w:space="0" w:color="auto"/>
        <w:left w:val="none" w:sz="0" w:space="0" w:color="auto"/>
        <w:bottom w:val="none" w:sz="0" w:space="0" w:color="auto"/>
        <w:right w:val="none" w:sz="0" w:space="0" w:color="auto"/>
      </w:divBdr>
    </w:div>
    <w:div w:id="788596566">
      <w:bodyDiv w:val="1"/>
      <w:marLeft w:val="0"/>
      <w:marRight w:val="0"/>
      <w:marTop w:val="0"/>
      <w:marBottom w:val="0"/>
      <w:divBdr>
        <w:top w:val="none" w:sz="0" w:space="0" w:color="auto"/>
        <w:left w:val="none" w:sz="0" w:space="0" w:color="auto"/>
        <w:bottom w:val="none" w:sz="0" w:space="0" w:color="auto"/>
        <w:right w:val="none" w:sz="0" w:space="0" w:color="auto"/>
      </w:divBdr>
    </w:div>
    <w:div w:id="791021275">
      <w:bodyDiv w:val="1"/>
      <w:marLeft w:val="0"/>
      <w:marRight w:val="0"/>
      <w:marTop w:val="0"/>
      <w:marBottom w:val="0"/>
      <w:divBdr>
        <w:top w:val="none" w:sz="0" w:space="0" w:color="auto"/>
        <w:left w:val="none" w:sz="0" w:space="0" w:color="auto"/>
        <w:bottom w:val="none" w:sz="0" w:space="0" w:color="auto"/>
        <w:right w:val="none" w:sz="0" w:space="0" w:color="auto"/>
      </w:divBdr>
    </w:div>
    <w:div w:id="794450932">
      <w:bodyDiv w:val="1"/>
      <w:marLeft w:val="0"/>
      <w:marRight w:val="0"/>
      <w:marTop w:val="0"/>
      <w:marBottom w:val="0"/>
      <w:divBdr>
        <w:top w:val="none" w:sz="0" w:space="0" w:color="auto"/>
        <w:left w:val="none" w:sz="0" w:space="0" w:color="auto"/>
        <w:bottom w:val="none" w:sz="0" w:space="0" w:color="auto"/>
        <w:right w:val="none" w:sz="0" w:space="0" w:color="auto"/>
      </w:divBdr>
    </w:div>
    <w:div w:id="799886957">
      <w:bodyDiv w:val="1"/>
      <w:marLeft w:val="0"/>
      <w:marRight w:val="0"/>
      <w:marTop w:val="0"/>
      <w:marBottom w:val="0"/>
      <w:divBdr>
        <w:top w:val="none" w:sz="0" w:space="0" w:color="auto"/>
        <w:left w:val="none" w:sz="0" w:space="0" w:color="auto"/>
        <w:bottom w:val="none" w:sz="0" w:space="0" w:color="auto"/>
        <w:right w:val="none" w:sz="0" w:space="0" w:color="auto"/>
      </w:divBdr>
    </w:div>
    <w:div w:id="802886780">
      <w:bodyDiv w:val="1"/>
      <w:marLeft w:val="0"/>
      <w:marRight w:val="0"/>
      <w:marTop w:val="0"/>
      <w:marBottom w:val="0"/>
      <w:divBdr>
        <w:top w:val="none" w:sz="0" w:space="0" w:color="auto"/>
        <w:left w:val="none" w:sz="0" w:space="0" w:color="auto"/>
        <w:bottom w:val="none" w:sz="0" w:space="0" w:color="auto"/>
        <w:right w:val="none" w:sz="0" w:space="0" w:color="auto"/>
      </w:divBdr>
    </w:div>
    <w:div w:id="807742282">
      <w:bodyDiv w:val="1"/>
      <w:marLeft w:val="0"/>
      <w:marRight w:val="0"/>
      <w:marTop w:val="0"/>
      <w:marBottom w:val="0"/>
      <w:divBdr>
        <w:top w:val="none" w:sz="0" w:space="0" w:color="auto"/>
        <w:left w:val="none" w:sz="0" w:space="0" w:color="auto"/>
        <w:bottom w:val="none" w:sz="0" w:space="0" w:color="auto"/>
        <w:right w:val="none" w:sz="0" w:space="0" w:color="auto"/>
      </w:divBdr>
    </w:div>
    <w:div w:id="809058154">
      <w:bodyDiv w:val="1"/>
      <w:marLeft w:val="0"/>
      <w:marRight w:val="0"/>
      <w:marTop w:val="0"/>
      <w:marBottom w:val="0"/>
      <w:divBdr>
        <w:top w:val="none" w:sz="0" w:space="0" w:color="auto"/>
        <w:left w:val="none" w:sz="0" w:space="0" w:color="auto"/>
        <w:bottom w:val="none" w:sz="0" w:space="0" w:color="auto"/>
        <w:right w:val="none" w:sz="0" w:space="0" w:color="auto"/>
      </w:divBdr>
    </w:div>
    <w:div w:id="810946731">
      <w:bodyDiv w:val="1"/>
      <w:marLeft w:val="0"/>
      <w:marRight w:val="0"/>
      <w:marTop w:val="0"/>
      <w:marBottom w:val="0"/>
      <w:divBdr>
        <w:top w:val="none" w:sz="0" w:space="0" w:color="auto"/>
        <w:left w:val="none" w:sz="0" w:space="0" w:color="auto"/>
        <w:bottom w:val="none" w:sz="0" w:space="0" w:color="auto"/>
        <w:right w:val="none" w:sz="0" w:space="0" w:color="auto"/>
      </w:divBdr>
    </w:div>
    <w:div w:id="814764045">
      <w:bodyDiv w:val="1"/>
      <w:marLeft w:val="0"/>
      <w:marRight w:val="0"/>
      <w:marTop w:val="0"/>
      <w:marBottom w:val="0"/>
      <w:divBdr>
        <w:top w:val="none" w:sz="0" w:space="0" w:color="auto"/>
        <w:left w:val="none" w:sz="0" w:space="0" w:color="auto"/>
        <w:bottom w:val="none" w:sz="0" w:space="0" w:color="auto"/>
        <w:right w:val="none" w:sz="0" w:space="0" w:color="auto"/>
      </w:divBdr>
    </w:div>
    <w:div w:id="815804146">
      <w:bodyDiv w:val="1"/>
      <w:marLeft w:val="0"/>
      <w:marRight w:val="0"/>
      <w:marTop w:val="0"/>
      <w:marBottom w:val="0"/>
      <w:divBdr>
        <w:top w:val="none" w:sz="0" w:space="0" w:color="auto"/>
        <w:left w:val="none" w:sz="0" w:space="0" w:color="auto"/>
        <w:bottom w:val="none" w:sz="0" w:space="0" w:color="auto"/>
        <w:right w:val="none" w:sz="0" w:space="0" w:color="auto"/>
      </w:divBdr>
    </w:div>
    <w:div w:id="822935888">
      <w:bodyDiv w:val="1"/>
      <w:marLeft w:val="0"/>
      <w:marRight w:val="0"/>
      <w:marTop w:val="0"/>
      <w:marBottom w:val="0"/>
      <w:divBdr>
        <w:top w:val="none" w:sz="0" w:space="0" w:color="auto"/>
        <w:left w:val="none" w:sz="0" w:space="0" w:color="auto"/>
        <w:bottom w:val="none" w:sz="0" w:space="0" w:color="auto"/>
        <w:right w:val="none" w:sz="0" w:space="0" w:color="auto"/>
      </w:divBdr>
    </w:div>
    <w:div w:id="826477087">
      <w:bodyDiv w:val="1"/>
      <w:marLeft w:val="0"/>
      <w:marRight w:val="0"/>
      <w:marTop w:val="0"/>
      <w:marBottom w:val="0"/>
      <w:divBdr>
        <w:top w:val="none" w:sz="0" w:space="0" w:color="auto"/>
        <w:left w:val="none" w:sz="0" w:space="0" w:color="auto"/>
        <w:bottom w:val="none" w:sz="0" w:space="0" w:color="auto"/>
        <w:right w:val="none" w:sz="0" w:space="0" w:color="auto"/>
      </w:divBdr>
    </w:div>
    <w:div w:id="826635098">
      <w:bodyDiv w:val="1"/>
      <w:marLeft w:val="0"/>
      <w:marRight w:val="0"/>
      <w:marTop w:val="0"/>
      <w:marBottom w:val="0"/>
      <w:divBdr>
        <w:top w:val="none" w:sz="0" w:space="0" w:color="auto"/>
        <w:left w:val="none" w:sz="0" w:space="0" w:color="auto"/>
        <w:bottom w:val="none" w:sz="0" w:space="0" w:color="auto"/>
        <w:right w:val="none" w:sz="0" w:space="0" w:color="auto"/>
      </w:divBdr>
    </w:div>
    <w:div w:id="837815168">
      <w:bodyDiv w:val="1"/>
      <w:marLeft w:val="0"/>
      <w:marRight w:val="0"/>
      <w:marTop w:val="0"/>
      <w:marBottom w:val="0"/>
      <w:divBdr>
        <w:top w:val="none" w:sz="0" w:space="0" w:color="auto"/>
        <w:left w:val="none" w:sz="0" w:space="0" w:color="auto"/>
        <w:bottom w:val="none" w:sz="0" w:space="0" w:color="auto"/>
        <w:right w:val="none" w:sz="0" w:space="0" w:color="auto"/>
      </w:divBdr>
    </w:div>
    <w:div w:id="838303278">
      <w:bodyDiv w:val="1"/>
      <w:marLeft w:val="0"/>
      <w:marRight w:val="0"/>
      <w:marTop w:val="0"/>
      <w:marBottom w:val="0"/>
      <w:divBdr>
        <w:top w:val="none" w:sz="0" w:space="0" w:color="auto"/>
        <w:left w:val="none" w:sz="0" w:space="0" w:color="auto"/>
        <w:bottom w:val="none" w:sz="0" w:space="0" w:color="auto"/>
        <w:right w:val="none" w:sz="0" w:space="0" w:color="auto"/>
      </w:divBdr>
    </w:div>
    <w:div w:id="838542533">
      <w:bodyDiv w:val="1"/>
      <w:marLeft w:val="0"/>
      <w:marRight w:val="0"/>
      <w:marTop w:val="0"/>
      <w:marBottom w:val="0"/>
      <w:divBdr>
        <w:top w:val="none" w:sz="0" w:space="0" w:color="auto"/>
        <w:left w:val="none" w:sz="0" w:space="0" w:color="auto"/>
        <w:bottom w:val="none" w:sz="0" w:space="0" w:color="auto"/>
        <w:right w:val="none" w:sz="0" w:space="0" w:color="auto"/>
      </w:divBdr>
    </w:div>
    <w:div w:id="846821453">
      <w:bodyDiv w:val="1"/>
      <w:marLeft w:val="0"/>
      <w:marRight w:val="0"/>
      <w:marTop w:val="0"/>
      <w:marBottom w:val="0"/>
      <w:divBdr>
        <w:top w:val="none" w:sz="0" w:space="0" w:color="auto"/>
        <w:left w:val="none" w:sz="0" w:space="0" w:color="auto"/>
        <w:bottom w:val="none" w:sz="0" w:space="0" w:color="auto"/>
        <w:right w:val="none" w:sz="0" w:space="0" w:color="auto"/>
      </w:divBdr>
    </w:div>
    <w:div w:id="851838657">
      <w:bodyDiv w:val="1"/>
      <w:marLeft w:val="0"/>
      <w:marRight w:val="0"/>
      <w:marTop w:val="0"/>
      <w:marBottom w:val="0"/>
      <w:divBdr>
        <w:top w:val="none" w:sz="0" w:space="0" w:color="auto"/>
        <w:left w:val="none" w:sz="0" w:space="0" w:color="auto"/>
        <w:bottom w:val="none" w:sz="0" w:space="0" w:color="auto"/>
        <w:right w:val="none" w:sz="0" w:space="0" w:color="auto"/>
      </w:divBdr>
    </w:div>
    <w:div w:id="853807315">
      <w:bodyDiv w:val="1"/>
      <w:marLeft w:val="0"/>
      <w:marRight w:val="0"/>
      <w:marTop w:val="0"/>
      <w:marBottom w:val="0"/>
      <w:divBdr>
        <w:top w:val="none" w:sz="0" w:space="0" w:color="auto"/>
        <w:left w:val="none" w:sz="0" w:space="0" w:color="auto"/>
        <w:bottom w:val="none" w:sz="0" w:space="0" w:color="auto"/>
        <w:right w:val="none" w:sz="0" w:space="0" w:color="auto"/>
      </w:divBdr>
    </w:div>
    <w:div w:id="856382790">
      <w:bodyDiv w:val="1"/>
      <w:marLeft w:val="0"/>
      <w:marRight w:val="0"/>
      <w:marTop w:val="0"/>
      <w:marBottom w:val="0"/>
      <w:divBdr>
        <w:top w:val="none" w:sz="0" w:space="0" w:color="auto"/>
        <w:left w:val="none" w:sz="0" w:space="0" w:color="auto"/>
        <w:bottom w:val="none" w:sz="0" w:space="0" w:color="auto"/>
        <w:right w:val="none" w:sz="0" w:space="0" w:color="auto"/>
      </w:divBdr>
    </w:div>
    <w:div w:id="859662298">
      <w:bodyDiv w:val="1"/>
      <w:marLeft w:val="0"/>
      <w:marRight w:val="0"/>
      <w:marTop w:val="0"/>
      <w:marBottom w:val="0"/>
      <w:divBdr>
        <w:top w:val="none" w:sz="0" w:space="0" w:color="auto"/>
        <w:left w:val="none" w:sz="0" w:space="0" w:color="auto"/>
        <w:bottom w:val="none" w:sz="0" w:space="0" w:color="auto"/>
        <w:right w:val="none" w:sz="0" w:space="0" w:color="auto"/>
      </w:divBdr>
    </w:div>
    <w:div w:id="862938659">
      <w:bodyDiv w:val="1"/>
      <w:marLeft w:val="0"/>
      <w:marRight w:val="0"/>
      <w:marTop w:val="0"/>
      <w:marBottom w:val="0"/>
      <w:divBdr>
        <w:top w:val="none" w:sz="0" w:space="0" w:color="auto"/>
        <w:left w:val="none" w:sz="0" w:space="0" w:color="auto"/>
        <w:bottom w:val="none" w:sz="0" w:space="0" w:color="auto"/>
        <w:right w:val="none" w:sz="0" w:space="0" w:color="auto"/>
      </w:divBdr>
    </w:div>
    <w:div w:id="863179539">
      <w:bodyDiv w:val="1"/>
      <w:marLeft w:val="0"/>
      <w:marRight w:val="0"/>
      <w:marTop w:val="0"/>
      <w:marBottom w:val="0"/>
      <w:divBdr>
        <w:top w:val="none" w:sz="0" w:space="0" w:color="auto"/>
        <w:left w:val="none" w:sz="0" w:space="0" w:color="auto"/>
        <w:bottom w:val="none" w:sz="0" w:space="0" w:color="auto"/>
        <w:right w:val="none" w:sz="0" w:space="0" w:color="auto"/>
      </w:divBdr>
    </w:div>
    <w:div w:id="872575277">
      <w:bodyDiv w:val="1"/>
      <w:marLeft w:val="0"/>
      <w:marRight w:val="0"/>
      <w:marTop w:val="0"/>
      <w:marBottom w:val="0"/>
      <w:divBdr>
        <w:top w:val="none" w:sz="0" w:space="0" w:color="auto"/>
        <w:left w:val="none" w:sz="0" w:space="0" w:color="auto"/>
        <w:bottom w:val="none" w:sz="0" w:space="0" w:color="auto"/>
        <w:right w:val="none" w:sz="0" w:space="0" w:color="auto"/>
      </w:divBdr>
    </w:div>
    <w:div w:id="873926351">
      <w:bodyDiv w:val="1"/>
      <w:marLeft w:val="0"/>
      <w:marRight w:val="0"/>
      <w:marTop w:val="0"/>
      <w:marBottom w:val="0"/>
      <w:divBdr>
        <w:top w:val="none" w:sz="0" w:space="0" w:color="auto"/>
        <w:left w:val="none" w:sz="0" w:space="0" w:color="auto"/>
        <w:bottom w:val="none" w:sz="0" w:space="0" w:color="auto"/>
        <w:right w:val="none" w:sz="0" w:space="0" w:color="auto"/>
      </w:divBdr>
    </w:div>
    <w:div w:id="880938864">
      <w:bodyDiv w:val="1"/>
      <w:marLeft w:val="0"/>
      <w:marRight w:val="0"/>
      <w:marTop w:val="0"/>
      <w:marBottom w:val="0"/>
      <w:divBdr>
        <w:top w:val="none" w:sz="0" w:space="0" w:color="auto"/>
        <w:left w:val="none" w:sz="0" w:space="0" w:color="auto"/>
        <w:bottom w:val="none" w:sz="0" w:space="0" w:color="auto"/>
        <w:right w:val="none" w:sz="0" w:space="0" w:color="auto"/>
      </w:divBdr>
    </w:div>
    <w:div w:id="916137621">
      <w:bodyDiv w:val="1"/>
      <w:marLeft w:val="0"/>
      <w:marRight w:val="0"/>
      <w:marTop w:val="0"/>
      <w:marBottom w:val="0"/>
      <w:divBdr>
        <w:top w:val="none" w:sz="0" w:space="0" w:color="auto"/>
        <w:left w:val="none" w:sz="0" w:space="0" w:color="auto"/>
        <w:bottom w:val="none" w:sz="0" w:space="0" w:color="auto"/>
        <w:right w:val="none" w:sz="0" w:space="0" w:color="auto"/>
      </w:divBdr>
    </w:div>
    <w:div w:id="922371471">
      <w:bodyDiv w:val="1"/>
      <w:marLeft w:val="0"/>
      <w:marRight w:val="0"/>
      <w:marTop w:val="0"/>
      <w:marBottom w:val="0"/>
      <w:divBdr>
        <w:top w:val="none" w:sz="0" w:space="0" w:color="auto"/>
        <w:left w:val="none" w:sz="0" w:space="0" w:color="auto"/>
        <w:bottom w:val="none" w:sz="0" w:space="0" w:color="auto"/>
        <w:right w:val="none" w:sz="0" w:space="0" w:color="auto"/>
      </w:divBdr>
    </w:div>
    <w:div w:id="922882909">
      <w:bodyDiv w:val="1"/>
      <w:marLeft w:val="0"/>
      <w:marRight w:val="0"/>
      <w:marTop w:val="0"/>
      <w:marBottom w:val="0"/>
      <w:divBdr>
        <w:top w:val="none" w:sz="0" w:space="0" w:color="auto"/>
        <w:left w:val="none" w:sz="0" w:space="0" w:color="auto"/>
        <w:bottom w:val="none" w:sz="0" w:space="0" w:color="auto"/>
        <w:right w:val="none" w:sz="0" w:space="0" w:color="auto"/>
      </w:divBdr>
    </w:div>
    <w:div w:id="923300417">
      <w:bodyDiv w:val="1"/>
      <w:marLeft w:val="0"/>
      <w:marRight w:val="0"/>
      <w:marTop w:val="0"/>
      <w:marBottom w:val="0"/>
      <w:divBdr>
        <w:top w:val="none" w:sz="0" w:space="0" w:color="auto"/>
        <w:left w:val="none" w:sz="0" w:space="0" w:color="auto"/>
        <w:bottom w:val="none" w:sz="0" w:space="0" w:color="auto"/>
        <w:right w:val="none" w:sz="0" w:space="0" w:color="auto"/>
      </w:divBdr>
    </w:div>
    <w:div w:id="937131354">
      <w:bodyDiv w:val="1"/>
      <w:marLeft w:val="0"/>
      <w:marRight w:val="0"/>
      <w:marTop w:val="0"/>
      <w:marBottom w:val="0"/>
      <w:divBdr>
        <w:top w:val="none" w:sz="0" w:space="0" w:color="auto"/>
        <w:left w:val="none" w:sz="0" w:space="0" w:color="auto"/>
        <w:bottom w:val="none" w:sz="0" w:space="0" w:color="auto"/>
        <w:right w:val="none" w:sz="0" w:space="0" w:color="auto"/>
      </w:divBdr>
    </w:div>
    <w:div w:id="939946464">
      <w:bodyDiv w:val="1"/>
      <w:marLeft w:val="0"/>
      <w:marRight w:val="0"/>
      <w:marTop w:val="0"/>
      <w:marBottom w:val="0"/>
      <w:divBdr>
        <w:top w:val="none" w:sz="0" w:space="0" w:color="auto"/>
        <w:left w:val="none" w:sz="0" w:space="0" w:color="auto"/>
        <w:bottom w:val="none" w:sz="0" w:space="0" w:color="auto"/>
        <w:right w:val="none" w:sz="0" w:space="0" w:color="auto"/>
      </w:divBdr>
    </w:div>
    <w:div w:id="945963326">
      <w:bodyDiv w:val="1"/>
      <w:marLeft w:val="0"/>
      <w:marRight w:val="0"/>
      <w:marTop w:val="0"/>
      <w:marBottom w:val="0"/>
      <w:divBdr>
        <w:top w:val="none" w:sz="0" w:space="0" w:color="auto"/>
        <w:left w:val="none" w:sz="0" w:space="0" w:color="auto"/>
        <w:bottom w:val="none" w:sz="0" w:space="0" w:color="auto"/>
        <w:right w:val="none" w:sz="0" w:space="0" w:color="auto"/>
      </w:divBdr>
    </w:div>
    <w:div w:id="954680560">
      <w:bodyDiv w:val="1"/>
      <w:marLeft w:val="0"/>
      <w:marRight w:val="0"/>
      <w:marTop w:val="0"/>
      <w:marBottom w:val="0"/>
      <w:divBdr>
        <w:top w:val="none" w:sz="0" w:space="0" w:color="auto"/>
        <w:left w:val="none" w:sz="0" w:space="0" w:color="auto"/>
        <w:bottom w:val="none" w:sz="0" w:space="0" w:color="auto"/>
        <w:right w:val="none" w:sz="0" w:space="0" w:color="auto"/>
      </w:divBdr>
    </w:div>
    <w:div w:id="954754247">
      <w:bodyDiv w:val="1"/>
      <w:marLeft w:val="0"/>
      <w:marRight w:val="0"/>
      <w:marTop w:val="0"/>
      <w:marBottom w:val="0"/>
      <w:divBdr>
        <w:top w:val="none" w:sz="0" w:space="0" w:color="auto"/>
        <w:left w:val="none" w:sz="0" w:space="0" w:color="auto"/>
        <w:bottom w:val="none" w:sz="0" w:space="0" w:color="auto"/>
        <w:right w:val="none" w:sz="0" w:space="0" w:color="auto"/>
      </w:divBdr>
    </w:div>
    <w:div w:id="955520829">
      <w:bodyDiv w:val="1"/>
      <w:marLeft w:val="0"/>
      <w:marRight w:val="0"/>
      <w:marTop w:val="0"/>
      <w:marBottom w:val="0"/>
      <w:divBdr>
        <w:top w:val="none" w:sz="0" w:space="0" w:color="auto"/>
        <w:left w:val="none" w:sz="0" w:space="0" w:color="auto"/>
        <w:bottom w:val="none" w:sz="0" w:space="0" w:color="auto"/>
        <w:right w:val="none" w:sz="0" w:space="0" w:color="auto"/>
      </w:divBdr>
    </w:div>
    <w:div w:id="956058418">
      <w:bodyDiv w:val="1"/>
      <w:marLeft w:val="0"/>
      <w:marRight w:val="0"/>
      <w:marTop w:val="0"/>
      <w:marBottom w:val="0"/>
      <w:divBdr>
        <w:top w:val="none" w:sz="0" w:space="0" w:color="auto"/>
        <w:left w:val="none" w:sz="0" w:space="0" w:color="auto"/>
        <w:bottom w:val="none" w:sz="0" w:space="0" w:color="auto"/>
        <w:right w:val="none" w:sz="0" w:space="0" w:color="auto"/>
      </w:divBdr>
    </w:div>
    <w:div w:id="965043327">
      <w:bodyDiv w:val="1"/>
      <w:marLeft w:val="0"/>
      <w:marRight w:val="0"/>
      <w:marTop w:val="0"/>
      <w:marBottom w:val="0"/>
      <w:divBdr>
        <w:top w:val="none" w:sz="0" w:space="0" w:color="auto"/>
        <w:left w:val="none" w:sz="0" w:space="0" w:color="auto"/>
        <w:bottom w:val="none" w:sz="0" w:space="0" w:color="auto"/>
        <w:right w:val="none" w:sz="0" w:space="0" w:color="auto"/>
      </w:divBdr>
    </w:div>
    <w:div w:id="970332359">
      <w:bodyDiv w:val="1"/>
      <w:marLeft w:val="0"/>
      <w:marRight w:val="0"/>
      <w:marTop w:val="0"/>
      <w:marBottom w:val="0"/>
      <w:divBdr>
        <w:top w:val="none" w:sz="0" w:space="0" w:color="auto"/>
        <w:left w:val="none" w:sz="0" w:space="0" w:color="auto"/>
        <w:bottom w:val="none" w:sz="0" w:space="0" w:color="auto"/>
        <w:right w:val="none" w:sz="0" w:space="0" w:color="auto"/>
      </w:divBdr>
    </w:div>
    <w:div w:id="971708806">
      <w:bodyDiv w:val="1"/>
      <w:marLeft w:val="0"/>
      <w:marRight w:val="0"/>
      <w:marTop w:val="0"/>
      <w:marBottom w:val="0"/>
      <w:divBdr>
        <w:top w:val="none" w:sz="0" w:space="0" w:color="auto"/>
        <w:left w:val="none" w:sz="0" w:space="0" w:color="auto"/>
        <w:bottom w:val="none" w:sz="0" w:space="0" w:color="auto"/>
        <w:right w:val="none" w:sz="0" w:space="0" w:color="auto"/>
      </w:divBdr>
    </w:div>
    <w:div w:id="983780267">
      <w:bodyDiv w:val="1"/>
      <w:marLeft w:val="0"/>
      <w:marRight w:val="0"/>
      <w:marTop w:val="0"/>
      <w:marBottom w:val="0"/>
      <w:divBdr>
        <w:top w:val="none" w:sz="0" w:space="0" w:color="auto"/>
        <w:left w:val="none" w:sz="0" w:space="0" w:color="auto"/>
        <w:bottom w:val="none" w:sz="0" w:space="0" w:color="auto"/>
        <w:right w:val="none" w:sz="0" w:space="0" w:color="auto"/>
      </w:divBdr>
    </w:div>
    <w:div w:id="1008289479">
      <w:bodyDiv w:val="1"/>
      <w:marLeft w:val="0"/>
      <w:marRight w:val="0"/>
      <w:marTop w:val="0"/>
      <w:marBottom w:val="0"/>
      <w:divBdr>
        <w:top w:val="none" w:sz="0" w:space="0" w:color="auto"/>
        <w:left w:val="none" w:sz="0" w:space="0" w:color="auto"/>
        <w:bottom w:val="none" w:sz="0" w:space="0" w:color="auto"/>
        <w:right w:val="none" w:sz="0" w:space="0" w:color="auto"/>
      </w:divBdr>
    </w:div>
    <w:div w:id="1011026043">
      <w:bodyDiv w:val="1"/>
      <w:marLeft w:val="0"/>
      <w:marRight w:val="0"/>
      <w:marTop w:val="0"/>
      <w:marBottom w:val="0"/>
      <w:divBdr>
        <w:top w:val="none" w:sz="0" w:space="0" w:color="auto"/>
        <w:left w:val="none" w:sz="0" w:space="0" w:color="auto"/>
        <w:bottom w:val="none" w:sz="0" w:space="0" w:color="auto"/>
        <w:right w:val="none" w:sz="0" w:space="0" w:color="auto"/>
      </w:divBdr>
    </w:div>
    <w:div w:id="1015232582">
      <w:bodyDiv w:val="1"/>
      <w:marLeft w:val="0"/>
      <w:marRight w:val="0"/>
      <w:marTop w:val="0"/>
      <w:marBottom w:val="0"/>
      <w:divBdr>
        <w:top w:val="none" w:sz="0" w:space="0" w:color="auto"/>
        <w:left w:val="none" w:sz="0" w:space="0" w:color="auto"/>
        <w:bottom w:val="none" w:sz="0" w:space="0" w:color="auto"/>
        <w:right w:val="none" w:sz="0" w:space="0" w:color="auto"/>
      </w:divBdr>
    </w:div>
    <w:div w:id="1020205043">
      <w:bodyDiv w:val="1"/>
      <w:marLeft w:val="0"/>
      <w:marRight w:val="0"/>
      <w:marTop w:val="0"/>
      <w:marBottom w:val="0"/>
      <w:divBdr>
        <w:top w:val="none" w:sz="0" w:space="0" w:color="auto"/>
        <w:left w:val="none" w:sz="0" w:space="0" w:color="auto"/>
        <w:bottom w:val="none" w:sz="0" w:space="0" w:color="auto"/>
        <w:right w:val="none" w:sz="0" w:space="0" w:color="auto"/>
      </w:divBdr>
    </w:div>
    <w:div w:id="1023477531">
      <w:bodyDiv w:val="1"/>
      <w:marLeft w:val="0"/>
      <w:marRight w:val="0"/>
      <w:marTop w:val="0"/>
      <w:marBottom w:val="0"/>
      <w:divBdr>
        <w:top w:val="none" w:sz="0" w:space="0" w:color="auto"/>
        <w:left w:val="none" w:sz="0" w:space="0" w:color="auto"/>
        <w:bottom w:val="none" w:sz="0" w:space="0" w:color="auto"/>
        <w:right w:val="none" w:sz="0" w:space="0" w:color="auto"/>
      </w:divBdr>
    </w:div>
    <w:div w:id="1026559858">
      <w:bodyDiv w:val="1"/>
      <w:marLeft w:val="0"/>
      <w:marRight w:val="0"/>
      <w:marTop w:val="0"/>
      <w:marBottom w:val="0"/>
      <w:divBdr>
        <w:top w:val="none" w:sz="0" w:space="0" w:color="auto"/>
        <w:left w:val="none" w:sz="0" w:space="0" w:color="auto"/>
        <w:bottom w:val="none" w:sz="0" w:space="0" w:color="auto"/>
        <w:right w:val="none" w:sz="0" w:space="0" w:color="auto"/>
      </w:divBdr>
    </w:div>
    <w:div w:id="1029406097">
      <w:bodyDiv w:val="1"/>
      <w:marLeft w:val="0"/>
      <w:marRight w:val="0"/>
      <w:marTop w:val="0"/>
      <w:marBottom w:val="0"/>
      <w:divBdr>
        <w:top w:val="none" w:sz="0" w:space="0" w:color="auto"/>
        <w:left w:val="none" w:sz="0" w:space="0" w:color="auto"/>
        <w:bottom w:val="none" w:sz="0" w:space="0" w:color="auto"/>
        <w:right w:val="none" w:sz="0" w:space="0" w:color="auto"/>
      </w:divBdr>
    </w:div>
    <w:div w:id="1031145959">
      <w:bodyDiv w:val="1"/>
      <w:marLeft w:val="0"/>
      <w:marRight w:val="0"/>
      <w:marTop w:val="0"/>
      <w:marBottom w:val="0"/>
      <w:divBdr>
        <w:top w:val="none" w:sz="0" w:space="0" w:color="auto"/>
        <w:left w:val="none" w:sz="0" w:space="0" w:color="auto"/>
        <w:bottom w:val="none" w:sz="0" w:space="0" w:color="auto"/>
        <w:right w:val="none" w:sz="0" w:space="0" w:color="auto"/>
      </w:divBdr>
    </w:div>
    <w:div w:id="1031146368">
      <w:bodyDiv w:val="1"/>
      <w:marLeft w:val="0"/>
      <w:marRight w:val="0"/>
      <w:marTop w:val="0"/>
      <w:marBottom w:val="0"/>
      <w:divBdr>
        <w:top w:val="none" w:sz="0" w:space="0" w:color="auto"/>
        <w:left w:val="none" w:sz="0" w:space="0" w:color="auto"/>
        <w:bottom w:val="none" w:sz="0" w:space="0" w:color="auto"/>
        <w:right w:val="none" w:sz="0" w:space="0" w:color="auto"/>
      </w:divBdr>
    </w:div>
    <w:div w:id="1032001984">
      <w:bodyDiv w:val="1"/>
      <w:marLeft w:val="0"/>
      <w:marRight w:val="0"/>
      <w:marTop w:val="0"/>
      <w:marBottom w:val="0"/>
      <w:divBdr>
        <w:top w:val="none" w:sz="0" w:space="0" w:color="auto"/>
        <w:left w:val="none" w:sz="0" w:space="0" w:color="auto"/>
        <w:bottom w:val="none" w:sz="0" w:space="0" w:color="auto"/>
        <w:right w:val="none" w:sz="0" w:space="0" w:color="auto"/>
      </w:divBdr>
    </w:div>
    <w:div w:id="1044528155">
      <w:bodyDiv w:val="1"/>
      <w:marLeft w:val="0"/>
      <w:marRight w:val="0"/>
      <w:marTop w:val="0"/>
      <w:marBottom w:val="0"/>
      <w:divBdr>
        <w:top w:val="none" w:sz="0" w:space="0" w:color="auto"/>
        <w:left w:val="none" w:sz="0" w:space="0" w:color="auto"/>
        <w:bottom w:val="none" w:sz="0" w:space="0" w:color="auto"/>
        <w:right w:val="none" w:sz="0" w:space="0" w:color="auto"/>
      </w:divBdr>
    </w:div>
    <w:div w:id="1044913149">
      <w:bodyDiv w:val="1"/>
      <w:marLeft w:val="0"/>
      <w:marRight w:val="0"/>
      <w:marTop w:val="0"/>
      <w:marBottom w:val="0"/>
      <w:divBdr>
        <w:top w:val="none" w:sz="0" w:space="0" w:color="auto"/>
        <w:left w:val="none" w:sz="0" w:space="0" w:color="auto"/>
        <w:bottom w:val="none" w:sz="0" w:space="0" w:color="auto"/>
        <w:right w:val="none" w:sz="0" w:space="0" w:color="auto"/>
      </w:divBdr>
    </w:div>
    <w:div w:id="1064766193">
      <w:bodyDiv w:val="1"/>
      <w:marLeft w:val="0"/>
      <w:marRight w:val="0"/>
      <w:marTop w:val="0"/>
      <w:marBottom w:val="0"/>
      <w:divBdr>
        <w:top w:val="none" w:sz="0" w:space="0" w:color="auto"/>
        <w:left w:val="none" w:sz="0" w:space="0" w:color="auto"/>
        <w:bottom w:val="none" w:sz="0" w:space="0" w:color="auto"/>
        <w:right w:val="none" w:sz="0" w:space="0" w:color="auto"/>
      </w:divBdr>
    </w:div>
    <w:div w:id="1064914204">
      <w:bodyDiv w:val="1"/>
      <w:marLeft w:val="0"/>
      <w:marRight w:val="0"/>
      <w:marTop w:val="0"/>
      <w:marBottom w:val="0"/>
      <w:divBdr>
        <w:top w:val="none" w:sz="0" w:space="0" w:color="auto"/>
        <w:left w:val="none" w:sz="0" w:space="0" w:color="auto"/>
        <w:bottom w:val="none" w:sz="0" w:space="0" w:color="auto"/>
        <w:right w:val="none" w:sz="0" w:space="0" w:color="auto"/>
      </w:divBdr>
    </w:div>
    <w:div w:id="1068381469">
      <w:bodyDiv w:val="1"/>
      <w:marLeft w:val="0"/>
      <w:marRight w:val="0"/>
      <w:marTop w:val="0"/>
      <w:marBottom w:val="0"/>
      <w:divBdr>
        <w:top w:val="none" w:sz="0" w:space="0" w:color="auto"/>
        <w:left w:val="none" w:sz="0" w:space="0" w:color="auto"/>
        <w:bottom w:val="none" w:sz="0" w:space="0" w:color="auto"/>
        <w:right w:val="none" w:sz="0" w:space="0" w:color="auto"/>
      </w:divBdr>
    </w:div>
    <w:div w:id="1080054284">
      <w:bodyDiv w:val="1"/>
      <w:marLeft w:val="0"/>
      <w:marRight w:val="0"/>
      <w:marTop w:val="0"/>
      <w:marBottom w:val="0"/>
      <w:divBdr>
        <w:top w:val="none" w:sz="0" w:space="0" w:color="auto"/>
        <w:left w:val="none" w:sz="0" w:space="0" w:color="auto"/>
        <w:bottom w:val="none" w:sz="0" w:space="0" w:color="auto"/>
        <w:right w:val="none" w:sz="0" w:space="0" w:color="auto"/>
      </w:divBdr>
    </w:div>
    <w:div w:id="1086464668">
      <w:bodyDiv w:val="1"/>
      <w:marLeft w:val="0"/>
      <w:marRight w:val="0"/>
      <w:marTop w:val="0"/>
      <w:marBottom w:val="0"/>
      <w:divBdr>
        <w:top w:val="none" w:sz="0" w:space="0" w:color="auto"/>
        <w:left w:val="none" w:sz="0" w:space="0" w:color="auto"/>
        <w:bottom w:val="none" w:sz="0" w:space="0" w:color="auto"/>
        <w:right w:val="none" w:sz="0" w:space="0" w:color="auto"/>
      </w:divBdr>
    </w:div>
    <w:div w:id="1092552855">
      <w:bodyDiv w:val="1"/>
      <w:marLeft w:val="0"/>
      <w:marRight w:val="0"/>
      <w:marTop w:val="0"/>
      <w:marBottom w:val="0"/>
      <w:divBdr>
        <w:top w:val="none" w:sz="0" w:space="0" w:color="auto"/>
        <w:left w:val="none" w:sz="0" w:space="0" w:color="auto"/>
        <w:bottom w:val="none" w:sz="0" w:space="0" w:color="auto"/>
        <w:right w:val="none" w:sz="0" w:space="0" w:color="auto"/>
      </w:divBdr>
    </w:div>
    <w:div w:id="1100032854">
      <w:bodyDiv w:val="1"/>
      <w:marLeft w:val="0"/>
      <w:marRight w:val="0"/>
      <w:marTop w:val="0"/>
      <w:marBottom w:val="0"/>
      <w:divBdr>
        <w:top w:val="none" w:sz="0" w:space="0" w:color="auto"/>
        <w:left w:val="none" w:sz="0" w:space="0" w:color="auto"/>
        <w:bottom w:val="none" w:sz="0" w:space="0" w:color="auto"/>
        <w:right w:val="none" w:sz="0" w:space="0" w:color="auto"/>
      </w:divBdr>
    </w:div>
    <w:div w:id="1100638903">
      <w:bodyDiv w:val="1"/>
      <w:marLeft w:val="0"/>
      <w:marRight w:val="0"/>
      <w:marTop w:val="0"/>
      <w:marBottom w:val="0"/>
      <w:divBdr>
        <w:top w:val="none" w:sz="0" w:space="0" w:color="auto"/>
        <w:left w:val="none" w:sz="0" w:space="0" w:color="auto"/>
        <w:bottom w:val="none" w:sz="0" w:space="0" w:color="auto"/>
        <w:right w:val="none" w:sz="0" w:space="0" w:color="auto"/>
      </w:divBdr>
    </w:div>
    <w:div w:id="1107194955">
      <w:bodyDiv w:val="1"/>
      <w:marLeft w:val="0"/>
      <w:marRight w:val="0"/>
      <w:marTop w:val="0"/>
      <w:marBottom w:val="0"/>
      <w:divBdr>
        <w:top w:val="none" w:sz="0" w:space="0" w:color="auto"/>
        <w:left w:val="none" w:sz="0" w:space="0" w:color="auto"/>
        <w:bottom w:val="none" w:sz="0" w:space="0" w:color="auto"/>
        <w:right w:val="none" w:sz="0" w:space="0" w:color="auto"/>
      </w:divBdr>
    </w:div>
    <w:div w:id="1114131703">
      <w:bodyDiv w:val="1"/>
      <w:marLeft w:val="0"/>
      <w:marRight w:val="0"/>
      <w:marTop w:val="0"/>
      <w:marBottom w:val="0"/>
      <w:divBdr>
        <w:top w:val="none" w:sz="0" w:space="0" w:color="auto"/>
        <w:left w:val="none" w:sz="0" w:space="0" w:color="auto"/>
        <w:bottom w:val="none" w:sz="0" w:space="0" w:color="auto"/>
        <w:right w:val="none" w:sz="0" w:space="0" w:color="auto"/>
      </w:divBdr>
    </w:div>
    <w:div w:id="1117024660">
      <w:bodyDiv w:val="1"/>
      <w:marLeft w:val="0"/>
      <w:marRight w:val="0"/>
      <w:marTop w:val="0"/>
      <w:marBottom w:val="0"/>
      <w:divBdr>
        <w:top w:val="none" w:sz="0" w:space="0" w:color="auto"/>
        <w:left w:val="none" w:sz="0" w:space="0" w:color="auto"/>
        <w:bottom w:val="none" w:sz="0" w:space="0" w:color="auto"/>
        <w:right w:val="none" w:sz="0" w:space="0" w:color="auto"/>
      </w:divBdr>
    </w:div>
    <w:div w:id="1124226813">
      <w:bodyDiv w:val="1"/>
      <w:marLeft w:val="0"/>
      <w:marRight w:val="0"/>
      <w:marTop w:val="0"/>
      <w:marBottom w:val="0"/>
      <w:divBdr>
        <w:top w:val="none" w:sz="0" w:space="0" w:color="auto"/>
        <w:left w:val="none" w:sz="0" w:space="0" w:color="auto"/>
        <w:bottom w:val="none" w:sz="0" w:space="0" w:color="auto"/>
        <w:right w:val="none" w:sz="0" w:space="0" w:color="auto"/>
      </w:divBdr>
    </w:div>
    <w:div w:id="1132478457">
      <w:bodyDiv w:val="1"/>
      <w:marLeft w:val="0"/>
      <w:marRight w:val="0"/>
      <w:marTop w:val="0"/>
      <w:marBottom w:val="0"/>
      <w:divBdr>
        <w:top w:val="none" w:sz="0" w:space="0" w:color="auto"/>
        <w:left w:val="none" w:sz="0" w:space="0" w:color="auto"/>
        <w:bottom w:val="none" w:sz="0" w:space="0" w:color="auto"/>
        <w:right w:val="none" w:sz="0" w:space="0" w:color="auto"/>
      </w:divBdr>
    </w:div>
    <w:div w:id="1142387279">
      <w:bodyDiv w:val="1"/>
      <w:marLeft w:val="0"/>
      <w:marRight w:val="0"/>
      <w:marTop w:val="0"/>
      <w:marBottom w:val="0"/>
      <w:divBdr>
        <w:top w:val="none" w:sz="0" w:space="0" w:color="auto"/>
        <w:left w:val="none" w:sz="0" w:space="0" w:color="auto"/>
        <w:bottom w:val="none" w:sz="0" w:space="0" w:color="auto"/>
        <w:right w:val="none" w:sz="0" w:space="0" w:color="auto"/>
      </w:divBdr>
    </w:div>
    <w:div w:id="1154373603">
      <w:bodyDiv w:val="1"/>
      <w:marLeft w:val="0"/>
      <w:marRight w:val="0"/>
      <w:marTop w:val="0"/>
      <w:marBottom w:val="0"/>
      <w:divBdr>
        <w:top w:val="none" w:sz="0" w:space="0" w:color="auto"/>
        <w:left w:val="none" w:sz="0" w:space="0" w:color="auto"/>
        <w:bottom w:val="none" w:sz="0" w:space="0" w:color="auto"/>
        <w:right w:val="none" w:sz="0" w:space="0" w:color="auto"/>
      </w:divBdr>
    </w:div>
    <w:div w:id="1155417561">
      <w:bodyDiv w:val="1"/>
      <w:marLeft w:val="0"/>
      <w:marRight w:val="0"/>
      <w:marTop w:val="0"/>
      <w:marBottom w:val="0"/>
      <w:divBdr>
        <w:top w:val="none" w:sz="0" w:space="0" w:color="auto"/>
        <w:left w:val="none" w:sz="0" w:space="0" w:color="auto"/>
        <w:bottom w:val="none" w:sz="0" w:space="0" w:color="auto"/>
        <w:right w:val="none" w:sz="0" w:space="0" w:color="auto"/>
      </w:divBdr>
    </w:div>
    <w:div w:id="1167406854">
      <w:bodyDiv w:val="1"/>
      <w:marLeft w:val="0"/>
      <w:marRight w:val="0"/>
      <w:marTop w:val="0"/>
      <w:marBottom w:val="0"/>
      <w:divBdr>
        <w:top w:val="none" w:sz="0" w:space="0" w:color="auto"/>
        <w:left w:val="none" w:sz="0" w:space="0" w:color="auto"/>
        <w:bottom w:val="none" w:sz="0" w:space="0" w:color="auto"/>
        <w:right w:val="none" w:sz="0" w:space="0" w:color="auto"/>
      </w:divBdr>
    </w:div>
    <w:div w:id="1176966219">
      <w:bodyDiv w:val="1"/>
      <w:marLeft w:val="0"/>
      <w:marRight w:val="0"/>
      <w:marTop w:val="0"/>
      <w:marBottom w:val="0"/>
      <w:divBdr>
        <w:top w:val="none" w:sz="0" w:space="0" w:color="auto"/>
        <w:left w:val="none" w:sz="0" w:space="0" w:color="auto"/>
        <w:bottom w:val="none" w:sz="0" w:space="0" w:color="auto"/>
        <w:right w:val="none" w:sz="0" w:space="0" w:color="auto"/>
      </w:divBdr>
    </w:div>
    <w:div w:id="1177189901">
      <w:bodyDiv w:val="1"/>
      <w:marLeft w:val="0"/>
      <w:marRight w:val="0"/>
      <w:marTop w:val="0"/>
      <w:marBottom w:val="0"/>
      <w:divBdr>
        <w:top w:val="none" w:sz="0" w:space="0" w:color="auto"/>
        <w:left w:val="none" w:sz="0" w:space="0" w:color="auto"/>
        <w:bottom w:val="none" w:sz="0" w:space="0" w:color="auto"/>
        <w:right w:val="none" w:sz="0" w:space="0" w:color="auto"/>
      </w:divBdr>
    </w:div>
    <w:div w:id="1178350205">
      <w:bodyDiv w:val="1"/>
      <w:marLeft w:val="0"/>
      <w:marRight w:val="0"/>
      <w:marTop w:val="0"/>
      <w:marBottom w:val="0"/>
      <w:divBdr>
        <w:top w:val="none" w:sz="0" w:space="0" w:color="auto"/>
        <w:left w:val="none" w:sz="0" w:space="0" w:color="auto"/>
        <w:bottom w:val="none" w:sz="0" w:space="0" w:color="auto"/>
        <w:right w:val="none" w:sz="0" w:space="0" w:color="auto"/>
      </w:divBdr>
    </w:div>
    <w:div w:id="1180969457">
      <w:bodyDiv w:val="1"/>
      <w:marLeft w:val="0"/>
      <w:marRight w:val="0"/>
      <w:marTop w:val="0"/>
      <w:marBottom w:val="0"/>
      <w:divBdr>
        <w:top w:val="none" w:sz="0" w:space="0" w:color="auto"/>
        <w:left w:val="none" w:sz="0" w:space="0" w:color="auto"/>
        <w:bottom w:val="none" w:sz="0" w:space="0" w:color="auto"/>
        <w:right w:val="none" w:sz="0" w:space="0" w:color="auto"/>
      </w:divBdr>
    </w:div>
    <w:div w:id="1182818322">
      <w:bodyDiv w:val="1"/>
      <w:marLeft w:val="0"/>
      <w:marRight w:val="0"/>
      <w:marTop w:val="0"/>
      <w:marBottom w:val="0"/>
      <w:divBdr>
        <w:top w:val="none" w:sz="0" w:space="0" w:color="auto"/>
        <w:left w:val="none" w:sz="0" w:space="0" w:color="auto"/>
        <w:bottom w:val="none" w:sz="0" w:space="0" w:color="auto"/>
        <w:right w:val="none" w:sz="0" w:space="0" w:color="auto"/>
      </w:divBdr>
    </w:div>
    <w:div w:id="1187594197">
      <w:bodyDiv w:val="1"/>
      <w:marLeft w:val="0"/>
      <w:marRight w:val="0"/>
      <w:marTop w:val="0"/>
      <w:marBottom w:val="0"/>
      <w:divBdr>
        <w:top w:val="none" w:sz="0" w:space="0" w:color="auto"/>
        <w:left w:val="none" w:sz="0" w:space="0" w:color="auto"/>
        <w:bottom w:val="none" w:sz="0" w:space="0" w:color="auto"/>
        <w:right w:val="none" w:sz="0" w:space="0" w:color="auto"/>
      </w:divBdr>
    </w:div>
    <w:div w:id="1188368686">
      <w:bodyDiv w:val="1"/>
      <w:marLeft w:val="0"/>
      <w:marRight w:val="0"/>
      <w:marTop w:val="0"/>
      <w:marBottom w:val="0"/>
      <w:divBdr>
        <w:top w:val="none" w:sz="0" w:space="0" w:color="auto"/>
        <w:left w:val="none" w:sz="0" w:space="0" w:color="auto"/>
        <w:bottom w:val="none" w:sz="0" w:space="0" w:color="auto"/>
        <w:right w:val="none" w:sz="0" w:space="0" w:color="auto"/>
      </w:divBdr>
    </w:div>
    <w:div w:id="1191990572">
      <w:bodyDiv w:val="1"/>
      <w:marLeft w:val="0"/>
      <w:marRight w:val="0"/>
      <w:marTop w:val="0"/>
      <w:marBottom w:val="0"/>
      <w:divBdr>
        <w:top w:val="none" w:sz="0" w:space="0" w:color="auto"/>
        <w:left w:val="none" w:sz="0" w:space="0" w:color="auto"/>
        <w:bottom w:val="none" w:sz="0" w:space="0" w:color="auto"/>
        <w:right w:val="none" w:sz="0" w:space="0" w:color="auto"/>
      </w:divBdr>
    </w:div>
    <w:div w:id="1198392042">
      <w:bodyDiv w:val="1"/>
      <w:marLeft w:val="0"/>
      <w:marRight w:val="0"/>
      <w:marTop w:val="0"/>
      <w:marBottom w:val="0"/>
      <w:divBdr>
        <w:top w:val="none" w:sz="0" w:space="0" w:color="auto"/>
        <w:left w:val="none" w:sz="0" w:space="0" w:color="auto"/>
        <w:bottom w:val="none" w:sz="0" w:space="0" w:color="auto"/>
        <w:right w:val="none" w:sz="0" w:space="0" w:color="auto"/>
      </w:divBdr>
    </w:div>
    <w:div w:id="1200626510">
      <w:bodyDiv w:val="1"/>
      <w:marLeft w:val="0"/>
      <w:marRight w:val="0"/>
      <w:marTop w:val="0"/>
      <w:marBottom w:val="0"/>
      <w:divBdr>
        <w:top w:val="none" w:sz="0" w:space="0" w:color="auto"/>
        <w:left w:val="none" w:sz="0" w:space="0" w:color="auto"/>
        <w:bottom w:val="none" w:sz="0" w:space="0" w:color="auto"/>
        <w:right w:val="none" w:sz="0" w:space="0" w:color="auto"/>
      </w:divBdr>
    </w:div>
    <w:div w:id="1202747548">
      <w:bodyDiv w:val="1"/>
      <w:marLeft w:val="0"/>
      <w:marRight w:val="0"/>
      <w:marTop w:val="0"/>
      <w:marBottom w:val="0"/>
      <w:divBdr>
        <w:top w:val="none" w:sz="0" w:space="0" w:color="auto"/>
        <w:left w:val="none" w:sz="0" w:space="0" w:color="auto"/>
        <w:bottom w:val="none" w:sz="0" w:space="0" w:color="auto"/>
        <w:right w:val="none" w:sz="0" w:space="0" w:color="auto"/>
      </w:divBdr>
    </w:div>
    <w:div w:id="1210916707">
      <w:bodyDiv w:val="1"/>
      <w:marLeft w:val="0"/>
      <w:marRight w:val="0"/>
      <w:marTop w:val="0"/>
      <w:marBottom w:val="0"/>
      <w:divBdr>
        <w:top w:val="none" w:sz="0" w:space="0" w:color="auto"/>
        <w:left w:val="none" w:sz="0" w:space="0" w:color="auto"/>
        <w:bottom w:val="none" w:sz="0" w:space="0" w:color="auto"/>
        <w:right w:val="none" w:sz="0" w:space="0" w:color="auto"/>
      </w:divBdr>
    </w:div>
    <w:div w:id="1229875271">
      <w:bodyDiv w:val="1"/>
      <w:marLeft w:val="0"/>
      <w:marRight w:val="0"/>
      <w:marTop w:val="0"/>
      <w:marBottom w:val="0"/>
      <w:divBdr>
        <w:top w:val="none" w:sz="0" w:space="0" w:color="auto"/>
        <w:left w:val="none" w:sz="0" w:space="0" w:color="auto"/>
        <w:bottom w:val="none" w:sz="0" w:space="0" w:color="auto"/>
        <w:right w:val="none" w:sz="0" w:space="0" w:color="auto"/>
      </w:divBdr>
    </w:div>
    <w:div w:id="1238638286">
      <w:bodyDiv w:val="1"/>
      <w:marLeft w:val="0"/>
      <w:marRight w:val="0"/>
      <w:marTop w:val="0"/>
      <w:marBottom w:val="0"/>
      <w:divBdr>
        <w:top w:val="none" w:sz="0" w:space="0" w:color="auto"/>
        <w:left w:val="none" w:sz="0" w:space="0" w:color="auto"/>
        <w:bottom w:val="none" w:sz="0" w:space="0" w:color="auto"/>
        <w:right w:val="none" w:sz="0" w:space="0" w:color="auto"/>
      </w:divBdr>
    </w:div>
    <w:div w:id="1239555632">
      <w:bodyDiv w:val="1"/>
      <w:marLeft w:val="0"/>
      <w:marRight w:val="0"/>
      <w:marTop w:val="0"/>
      <w:marBottom w:val="0"/>
      <w:divBdr>
        <w:top w:val="none" w:sz="0" w:space="0" w:color="auto"/>
        <w:left w:val="none" w:sz="0" w:space="0" w:color="auto"/>
        <w:bottom w:val="none" w:sz="0" w:space="0" w:color="auto"/>
        <w:right w:val="none" w:sz="0" w:space="0" w:color="auto"/>
      </w:divBdr>
    </w:div>
    <w:div w:id="1248884746">
      <w:bodyDiv w:val="1"/>
      <w:marLeft w:val="0"/>
      <w:marRight w:val="0"/>
      <w:marTop w:val="0"/>
      <w:marBottom w:val="0"/>
      <w:divBdr>
        <w:top w:val="none" w:sz="0" w:space="0" w:color="auto"/>
        <w:left w:val="none" w:sz="0" w:space="0" w:color="auto"/>
        <w:bottom w:val="none" w:sz="0" w:space="0" w:color="auto"/>
        <w:right w:val="none" w:sz="0" w:space="0" w:color="auto"/>
      </w:divBdr>
    </w:div>
    <w:div w:id="1249390915">
      <w:bodyDiv w:val="1"/>
      <w:marLeft w:val="0"/>
      <w:marRight w:val="0"/>
      <w:marTop w:val="0"/>
      <w:marBottom w:val="0"/>
      <w:divBdr>
        <w:top w:val="none" w:sz="0" w:space="0" w:color="auto"/>
        <w:left w:val="none" w:sz="0" w:space="0" w:color="auto"/>
        <w:bottom w:val="none" w:sz="0" w:space="0" w:color="auto"/>
        <w:right w:val="none" w:sz="0" w:space="0" w:color="auto"/>
      </w:divBdr>
    </w:div>
    <w:div w:id="1255438754">
      <w:bodyDiv w:val="1"/>
      <w:marLeft w:val="0"/>
      <w:marRight w:val="0"/>
      <w:marTop w:val="0"/>
      <w:marBottom w:val="0"/>
      <w:divBdr>
        <w:top w:val="none" w:sz="0" w:space="0" w:color="auto"/>
        <w:left w:val="none" w:sz="0" w:space="0" w:color="auto"/>
        <w:bottom w:val="none" w:sz="0" w:space="0" w:color="auto"/>
        <w:right w:val="none" w:sz="0" w:space="0" w:color="auto"/>
      </w:divBdr>
    </w:div>
    <w:div w:id="1255898415">
      <w:bodyDiv w:val="1"/>
      <w:marLeft w:val="0"/>
      <w:marRight w:val="0"/>
      <w:marTop w:val="0"/>
      <w:marBottom w:val="0"/>
      <w:divBdr>
        <w:top w:val="none" w:sz="0" w:space="0" w:color="auto"/>
        <w:left w:val="none" w:sz="0" w:space="0" w:color="auto"/>
        <w:bottom w:val="none" w:sz="0" w:space="0" w:color="auto"/>
        <w:right w:val="none" w:sz="0" w:space="0" w:color="auto"/>
      </w:divBdr>
    </w:div>
    <w:div w:id="1256936980">
      <w:bodyDiv w:val="1"/>
      <w:marLeft w:val="0"/>
      <w:marRight w:val="0"/>
      <w:marTop w:val="0"/>
      <w:marBottom w:val="0"/>
      <w:divBdr>
        <w:top w:val="none" w:sz="0" w:space="0" w:color="auto"/>
        <w:left w:val="none" w:sz="0" w:space="0" w:color="auto"/>
        <w:bottom w:val="none" w:sz="0" w:space="0" w:color="auto"/>
        <w:right w:val="none" w:sz="0" w:space="0" w:color="auto"/>
      </w:divBdr>
    </w:div>
    <w:div w:id="1263490159">
      <w:bodyDiv w:val="1"/>
      <w:marLeft w:val="0"/>
      <w:marRight w:val="0"/>
      <w:marTop w:val="0"/>
      <w:marBottom w:val="0"/>
      <w:divBdr>
        <w:top w:val="none" w:sz="0" w:space="0" w:color="auto"/>
        <w:left w:val="none" w:sz="0" w:space="0" w:color="auto"/>
        <w:bottom w:val="none" w:sz="0" w:space="0" w:color="auto"/>
        <w:right w:val="none" w:sz="0" w:space="0" w:color="auto"/>
      </w:divBdr>
    </w:div>
    <w:div w:id="1264336005">
      <w:bodyDiv w:val="1"/>
      <w:marLeft w:val="0"/>
      <w:marRight w:val="0"/>
      <w:marTop w:val="0"/>
      <w:marBottom w:val="0"/>
      <w:divBdr>
        <w:top w:val="none" w:sz="0" w:space="0" w:color="auto"/>
        <w:left w:val="none" w:sz="0" w:space="0" w:color="auto"/>
        <w:bottom w:val="none" w:sz="0" w:space="0" w:color="auto"/>
        <w:right w:val="none" w:sz="0" w:space="0" w:color="auto"/>
      </w:divBdr>
    </w:div>
    <w:div w:id="1290282618">
      <w:bodyDiv w:val="1"/>
      <w:marLeft w:val="0"/>
      <w:marRight w:val="0"/>
      <w:marTop w:val="0"/>
      <w:marBottom w:val="0"/>
      <w:divBdr>
        <w:top w:val="none" w:sz="0" w:space="0" w:color="auto"/>
        <w:left w:val="none" w:sz="0" w:space="0" w:color="auto"/>
        <w:bottom w:val="none" w:sz="0" w:space="0" w:color="auto"/>
        <w:right w:val="none" w:sz="0" w:space="0" w:color="auto"/>
      </w:divBdr>
    </w:div>
    <w:div w:id="1297877461">
      <w:bodyDiv w:val="1"/>
      <w:marLeft w:val="0"/>
      <w:marRight w:val="0"/>
      <w:marTop w:val="0"/>
      <w:marBottom w:val="0"/>
      <w:divBdr>
        <w:top w:val="none" w:sz="0" w:space="0" w:color="auto"/>
        <w:left w:val="none" w:sz="0" w:space="0" w:color="auto"/>
        <w:bottom w:val="none" w:sz="0" w:space="0" w:color="auto"/>
        <w:right w:val="none" w:sz="0" w:space="0" w:color="auto"/>
      </w:divBdr>
    </w:div>
    <w:div w:id="1312295649">
      <w:bodyDiv w:val="1"/>
      <w:marLeft w:val="0"/>
      <w:marRight w:val="0"/>
      <w:marTop w:val="0"/>
      <w:marBottom w:val="0"/>
      <w:divBdr>
        <w:top w:val="none" w:sz="0" w:space="0" w:color="auto"/>
        <w:left w:val="none" w:sz="0" w:space="0" w:color="auto"/>
        <w:bottom w:val="none" w:sz="0" w:space="0" w:color="auto"/>
        <w:right w:val="none" w:sz="0" w:space="0" w:color="auto"/>
      </w:divBdr>
    </w:div>
    <w:div w:id="1319458070">
      <w:bodyDiv w:val="1"/>
      <w:marLeft w:val="0"/>
      <w:marRight w:val="0"/>
      <w:marTop w:val="0"/>
      <w:marBottom w:val="0"/>
      <w:divBdr>
        <w:top w:val="none" w:sz="0" w:space="0" w:color="auto"/>
        <w:left w:val="none" w:sz="0" w:space="0" w:color="auto"/>
        <w:bottom w:val="none" w:sz="0" w:space="0" w:color="auto"/>
        <w:right w:val="none" w:sz="0" w:space="0" w:color="auto"/>
      </w:divBdr>
    </w:div>
    <w:div w:id="1322201474">
      <w:bodyDiv w:val="1"/>
      <w:marLeft w:val="0"/>
      <w:marRight w:val="0"/>
      <w:marTop w:val="0"/>
      <w:marBottom w:val="0"/>
      <w:divBdr>
        <w:top w:val="none" w:sz="0" w:space="0" w:color="auto"/>
        <w:left w:val="none" w:sz="0" w:space="0" w:color="auto"/>
        <w:bottom w:val="none" w:sz="0" w:space="0" w:color="auto"/>
        <w:right w:val="none" w:sz="0" w:space="0" w:color="auto"/>
      </w:divBdr>
    </w:div>
    <w:div w:id="1335374377">
      <w:bodyDiv w:val="1"/>
      <w:marLeft w:val="0"/>
      <w:marRight w:val="0"/>
      <w:marTop w:val="0"/>
      <w:marBottom w:val="0"/>
      <w:divBdr>
        <w:top w:val="none" w:sz="0" w:space="0" w:color="auto"/>
        <w:left w:val="none" w:sz="0" w:space="0" w:color="auto"/>
        <w:bottom w:val="none" w:sz="0" w:space="0" w:color="auto"/>
        <w:right w:val="none" w:sz="0" w:space="0" w:color="auto"/>
      </w:divBdr>
    </w:div>
    <w:div w:id="1337923222">
      <w:bodyDiv w:val="1"/>
      <w:marLeft w:val="0"/>
      <w:marRight w:val="0"/>
      <w:marTop w:val="0"/>
      <w:marBottom w:val="0"/>
      <w:divBdr>
        <w:top w:val="none" w:sz="0" w:space="0" w:color="auto"/>
        <w:left w:val="none" w:sz="0" w:space="0" w:color="auto"/>
        <w:bottom w:val="none" w:sz="0" w:space="0" w:color="auto"/>
        <w:right w:val="none" w:sz="0" w:space="0" w:color="auto"/>
      </w:divBdr>
    </w:div>
    <w:div w:id="1340766657">
      <w:bodyDiv w:val="1"/>
      <w:marLeft w:val="0"/>
      <w:marRight w:val="0"/>
      <w:marTop w:val="0"/>
      <w:marBottom w:val="0"/>
      <w:divBdr>
        <w:top w:val="none" w:sz="0" w:space="0" w:color="auto"/>
        <w:left w:val="none" w:sz="0" w:space="0" w:color="auto"/>
        <w:bottom w:val="none" w:sz="0" w:space="0" w:color="auto"/>
        <w:right w:val="none" w:sz="0" w:space="0" w:color="auto"/>
      </w:divBdr>
    </w:div>
    <w:div w:id="1343553625">
      <w:bodyDiv w:val="1"/>
      <w:marLeft w:val="0"/>
      <w:marRight w:val="0"/>
      <w:marTop w:val="0"/>
      <w:marBottom w:val="0"/>
      <w:divBdr>
        <w:top w:val="none" w:sz="0" w:space="0" w:color="auto"/>
        <w:left w:val="none" w:sz="0" w:space="0" w:color="auto"/>
        <w:bottom w:val="none" w:sz="0" w:space="0" w:color="auto"/>
        <w:right w:val="none" w:sz="0" w:space="0" w:color="auto"/>
      </w:divBdr>
    </w:div>
    <w:div w:id="1356468506">
      <w:bodyDiv w:val="1"/>
      <w:marLeft w:val="0"/>
      <w:marRight w:val="0"/>
      <w:marTop w:val="0"/>
      <w:marBottom w:val="0"/>
      <w:divBdr>
        <w:top w:val="none" w:sz="0" w:space="0" w:color="auto"/>
        <w:left w:val="none" w:sz="0" w:space="0" w:color="auto"/>
        <w:bottom w:val="none" w:sz="0" w:space="0" w:color="auto"/>
        <w:right w:val="none" w:sz="0" w:space="0" w:color="auto"/>
      </w:divBdr>
    </w:div>
    <w:div w:id="1377895047">
      <w:bodyDiv w:val="1"/>
      <w:marLeft w:val="0"/>
      <w:marRight w:val="0"/>
      <w:marTop w:val="0"/>
      <w:marBottom w:val="0"/>
      <w:divBdr>
        <w:top w:val="none" w:sz="0" w:space="0" w:color="auto"/>
        <w:left w:val="none" w:sz="0" w:space="0" w:color="auto"/>
        <w:bottom w:val="none" w:sz="0" w:space="0" w:color="auto"/>
        <w:right w:val="none" w:sz="0" w:space="0" w:color="auto"/>
      </w:divBdr>
    </w:div>
    <w:div w:id="1379087988">
      <w:bodyDiv w:val="1"/>
      <w:marLeft w:val="0"/>
      <w:marRight w:val="0"/>
      <w:marTop w:val="0"/>
      <w:marBottom w:val="0"/>
      <w:divBdr>
        <w:top w:val="none" w:sz="0" w:space="0" w:color="auto"/>
        <w:left w:val="none" w:sz="0" w:space="0" w:color="auto"/>
        <w:bottom w:val="none" w:sz="0" w:space="0" w:color="auto"/>
        <w:right w:val="none" w:sz="0" w:space="0" w:color="auto"/>
      </w:divBdr>
    </w:div>
    <w:div w:id="1382510739">
      <w:bodyDiv w:val="1"/>
      <w:marLeft w:val="0"/>
      <w:marRight w:val="0"/>
      <w:marTop w:val="0"/>
      <w:marBottom w:val="0"/>
      <w:divBdr>
        <w:top w:val="none" w:sz="0" w:space="0" w:color="auto"/>
        <w:left w:val="none" w:sz="0" w:space="0" w:color="auto"/>
        <w:bottom w:val="none" w:sz="0" w:space="0" w:color="auto"/>
        <w:right w:val="none" w:sz="0" w:space="0" w:color="auto"/>
      </w:divBdr>
    </w:div>
    <w:div w:id="1385374420">
      <w:bodyDiv w:val="1"/>
      <w:marLeft w:val="0"/>
      <w:marRight w:val="0"/>
      <w:marTop w:val="0"/>
      <w:marBottom w:val="0"/>
      <w:divBdr>
        <w:top w:val="none" w:sz="0" w:space="0" w:color="auto"/>
        <w:left w:val="none" w:sz="0" w:space="0" w:color="auto"/>
        <w:bottom w:val="none" w:sz="0" w:space="0" w:color="auto"/>
        <w:right w:val="none" w:sz="0" w:space="0" w:color="auto"/>
      </w:divBdr>
    </w:div>
    <w:div w:id="1396319024">
      <w:bodyDiv w:val="1"/>
      <w:marLeft w:val="0"/>
      <w:marRight w:val="0"/>
      <w:marTop w:val="0"/>
      <w:marBottom w:val="0"/>
      <w:divBdr>
        <w:top w:val="none" w:sz="0" w:space="0" w:color="auto"/>
        <w:left w:val="none" w:sz="0" w:space="0" w:color="auto"/>
        <w:bottom w:val="none" w:sz="0" w:space="0" w:color="auto"/>
        <w:right w:val="none" w:sz="0" w:space="0" w:color="auto"/>
      </w:divBdr>
    </w:div>
    <w:div w:id="1396470546">
      <w:bodyDiv w:val="1"/>
      <w:marLeft w:val="0"/>
      <w:marRight w:val="0"/>
      <w:marTop w:val="0"/>
      <w:marBottom w:val="0"/>
      <w:divBdr>
        <w:top w:val="none" w:sz="0" w:space="0" w:color="auto"/>
        <w:left w:val="none" w:sz="0" w:space="0" w:color="auto"/>
        <w:bottom w:val="none" w:sz="0" w:space="0" w:color="auto"/>
        <w:right w:val="none" w:sz="0" w:space="0" w:color="auto"/>
      </w:divBdr>
    </w:div>
    <w:div w:id="1401367199">
      <w:bodyDiv w:val="1"/>
      <w:marLeft w:val="0"/>
      <w:marRight w:val="0"/>
      <w:marTop w:val="0"/>
      <w:marBottom w:val="0"/>
      <w:divBdr>
        <w:top w:val="none" w:sz="0" w:space="0" w:color="auto"/>
        <w:left w:val="none" w:sz="0" w:space="0" w:color="auto"/>
        <w:bottom w:val="none" w:sz="0" w:space="0" w:color="auto"/>
        <w:right w:val="none" w:sz="0" w:space="0" w:color="auto"/>
      </w:divBdr>
    </w:div>
    <w:div w:id="1413312210">
      <w:bodyDiv w:val="1"/>
      <w:marLeft w:val="0"/>
      <w:marRight w:val="0"/>
      <w:marTop w:val="0"/>
      <w:marBottom w:val="0"/>
      <w:divBdr>
        <w:top w:val="none" w:sz="0" w:space="0" w:color="auto"/>
        <w:left w:val="none" w:sz="0" w:space="0" w:color="auto"/>
        <w:bottom w:val="none" w:sz="0" w:space="0" w:color="auto"/>
        <w:right w:val="none" w:sz="0" w:space="0" w:color="auto"/>
      </w:divBdr>
    </w:div>
    <w:div w:id="1415934820">
      <w:bodyDiv w:val="1"/>
      <w:marLeft w:val="0"/>
      <w:marRight w:val="0"/>
      <w:marTop w:val="0"/>
      <w:marBottom w:val="0"/>
      <w:divBdr>
        <w:top w:val="none" w:sz="0" w:space="0" w:color="auto"/>
        <w:left w:val="none" w:sz="0" w:space="0" w:color="auto"/>
        <w:bottom w:val="none" w:sz="0" w:space="0" w:color="auto"/>
        <w:right w:val="none" w:sz="0" w:space="0" w:color="auto"/>
      </w:divBdr>
    </w:div>
    <w:div w:id="1427732134">
      <w:bodyDiv w:val="1"/>
      <w:marLeft w:val="0"/>
      <w:marRight w:val="0"/>
      <w:marTop w:val="0"/>
      <w:marBottom w:val="0"/>
      <w:divBdr>
        <w:top w:val="none" w:sz="0" w:space="0" w:color="auto"/>
        <w:left w:val="none" w:sz="0" w:space="0" w:color="auto"/>
        <w:bottom w:val="none" w:sz="0" w:space="0" w:color="auto"/>
        <w:right w:val="none" w:sz="0" w:space="0" w:color="auto"/>
      </w:divBdr>
    </w:div>
    <w:div w:id="1430202901">
      <w:bodyDiv w:val="1"/>
      <w:marLeft w:val="0"/>
      <w:marRight w:val="0"/>
      <w:marTop w:val="0"/>
      <w:marBottom w:val="0"/>
      <w:divBdr>
        <w:top w:val="none" w:sz="0" w:space="0" w:color="auto"/>
        <w:left w:val="none" w:sz="0" w:space="0" w:color="auto"/>
        <w:bottom w:val="none" w:sz="0" w:space="0" w:color="auto"/>
        <w:right w:val="none" w:sz="0" w:space="0" w:color="auto"/>
      </w:divBdr>
    </w:div>
    <w:div w:id="1431320383">
      <w:bodyDiv w:val="1"/>
      <w:marLeft w:val="0"/>
      <w:marRight w:val="0"/>
      <w:marTop w:val="0"/>
      <w:marBottom w:val="0"/>
      <w:divBdr>
        <w:top w:val="none" w:sz="0" w:space="0" w:color="auto"/>
        <w:left w:val="none" w:sz="0" w:space="0" w:color="auto"/>
        <w:bottom w:val="none" w:sz="0" w:space="0" w:color="auto"/>
        <w:right w:val="none" w:sz="0" w:space="0" w:color="auto"/>
      </w:divBdr>
    </w:div>
    <w:div w:id="1432124783">
      <w:bodyDiv w:val="1"/>
      <w:marLeft w:val="0"/>
      <w:marRight w:val="0"/>
      <w:marTop w:val="0"/>
      <w:marBottom w:val="0"/>
      <w:divBdr>
        <w:top w:val="none" w:sz="0" w:space="0" w:color="auto"/>
        <w:left w:val="none" w:sz="0" w:space="0" w:color="auto"/>
        <w:bottom w:val="none" w:sz="0" w:space="0" w:color="auto"/>
        <w:right w:val="none" w:sz="0" w:space="0" w:color="auto"/>
      </w:divBdr>
    </w:div>
    <w:div w:id="1436823655">
      <w:bodyDiv w:val="1"/>
      <w:marLeft w:val="0"/>
      <w:marRight w:val="0"/>
      <w:marTop w:val="0"/>
      <w:marBottom w:val="0"/>
      <w:divBdr>
        <w:top w:val="none" w:sz="0" w:space="0" w:color="auto"/>
        <w:left w:val="none" w:sz="0" w:space="0" w:color="auto"/>
        <w:bottom w:val="none" w:sz="0" w:space="0" w:color="auto"/>
        <w:right w:val="none" w:sz="0" w:space="0" w:color="auto"/>
      </w:divBdr>
    </w:div>
    <w:div w:id="1441682441">
      <w:bodyDiv w:val="1"/>
      <w:marLeft w:val="0"/>
      <w:marRight w:val="0"/>
      <w:marTop w:val="0"/>
      <w:marBottom w:val="0"/>
      <w:divBdr>
        <w:top w:val="none" w:sz="0" w:space="0" w:color="auto"/>
        <w:left w:val="none" w:sz="0" w:space="0" w:color="auto"/>
        <w:bottom w:val="none" w:sz="0" w:space="0" w:color="auto"/>
        <w:right w:val="none" w:sz="0" w:space="0" w:color="auto"/>
      </w:divBdr>
    </w:div>
    <w:div w:id="1442068981">
      <w:bodyDiv w:val="1"/>
      <w:marLeft w:val="0"/>
      <w:marRight w:val="0"/>
      <w:marTop w:val="0"/>
      <w:marBottom w:val="0"/>
      <w:divBdr>
        <w:top w:val="none" w:sz="0" w:space="0" w:color="auto"/>
        <w:left w:val="none" w:sz="0" w:space="0" w:color="auto"/>
        <w:bottom w:val="none" w:sz="0" w:space="0" w:color="auto"/>
        <w:right w:val="none" w:sz="0" w:space="0" w:color="auto"/>
      </w:divBdr>
    </w:div>
    <w:div w:id="1444031101">
      <w:bodyDiv w:val="1"/>
      <w:marLeft w:val="0"/>
      <w:marRight w:val="0"/>
      <w:marTop w:val="0"/>
      <w:marBottom w:val="0"/>
      <w:divBdr>
        <w:top w:val="none" w:sz="0" w:space="0" w:color="auto"/>
        <w:left w:val="none" w:sz="0" w:space="0" w:color="auto"/>
        <w:bottom w:val="none" w:sz="0" w:space="0" w:color="auto"/>
        <w:right w:val="none" w:sz="0" w:space="0" w:color="auto"/>
      </w:divBdr>
    </w:div>
    <w:div w:id="1449540671">
      <w:bodyDiv w:val="1"/>
      <w:marLeft w:val="0"/>
      <w:marRight w:val="0"/>
      <w:marTop w:val="0"/>
      <w:marBottom w:val="0"/>
      <w:divBdr>
        <w:top w:val="none" w:sz="0" w:space="0" w:color="auto"/>
        <w:left w:val="none" w:sz="0" w:space="0" w:color="auto"/>
        <w:bottom w:val="none" w:sz="0" w:space="0" w:color="auto"/>
        <w:right w:val="none" w:sz="0" w:space="0" w:color="auto"/>
      </w:divBdr>
    </w:div>
    <w:div w:id="1452238442">
      <w:bodyDiv w:val="1"/>
      <w:marLeft w:val="0"/>
      <w:marRight w:val="0"/>
      <w:marTop w:val="0"/>
      <w:marBottom w:val="0"/>
      <w:divBdr>
        <w:top w:val="none" w:sz="0" w:space="0" w:color="auto"/>
        <w:left w:val="none" w:sz="0" w:space="0" w:color="auto"/>
        <w:bottom w:val="none" w:sz="0" w:space="0" w:color="auto"/>
        <w:right w:val="none" w:sz="0" w:space="0" w:color="auto"/>
      </w:divBdr>
    </w:div>
    <w:div w:id="1454130433">
      <w:bodyDiv w:val="1"/>
      <w:marLeft w:val="0"/>
      <w:marRight w:val="0"/>
      <w:marTop w:val="0"/>
      <w:marBottom w:val="0"/>
      <w:divBdr>
        <w:top w:val="none" w:sz="0" w:space="0" w:color="auto"/>
        <w:left w:val="none" w:sz="0" w:space="0" w:color="auto"/>
        <w:bottom w:val="none" w:sz="0" w:space="0" w:color="auto"/>
        <w:right w:val="none" w:sz="0" w:space="0" w:color="auto"/>
      </w:divBdr>
    </w:div>
    <w:div w:id="1457479462">
      <w:bodyDiv w:val="1"/>
      <w:marLeft w:val="0"/>
      <w:marRight w:val="0"/>
      <w:marTop w:val="0"/>
      <w:marBottom w:val="0"/>
      <w:divBdr>
        <w:top w:val="none" w:sz="0" w:space="0" w:color="auto"/>
        <w:left w:val="none" w:sz="0" w:space="0" w:color="auto"/>
        <w:bottom w:val="none" w:sz="0" w:space="0" w:color="auto"/>
        <w:right w:val="none" w:sz="0" w:space="0" w:color="auto"/>
      </w:divBdr>
    </w:div>
    <w:div w:id="1457720821">
      <w:bodyDiv w:val="1"/>
      <w:marLeft w:val="0"/>
      <w:marRight w:val="0"/>
      <w:marTop w:val="0"/>
      <w:marBottom w:val="0"/>
      <w:divBdr>
        <w:top w:val="none" w:sz="0" w:space="0" w:color="auto"/>
        <w:left w:val="none" w:sz="0" w:space="0" w:color="auto"/>
        <w:bottom w:val="none" w:sz="0" w:space="0" w:color="auto"/>
        <w:right w:val="none" w:sz="0" w:space="0" w:color="auto"/>
      </w:divBdr>
    </w:div>
    <w:div w:id="1464927476">
      <w:bodyDiv w:val="1"/>
      <w:marLeft w:val="0"/>
      <w:marRight w:val="0"/>
      <w:marTop w:val="0"/>
      <w:marBottom w:val="0"/>
      <w:divBdr>
        <w:top w:val="none" w:sz="0" w:space="0" w:color="auto"/>
        <w:left w:val="none" w:sz="0" w:space="0" w:color="auto"/>
        <w:bottom w:val="none" w:sz="0" w:space="0" w:color="auto"/>
        <w:right w:val="none" w:sz="0" w:space="0" w:color="auto"/>
      </w:divBdr>
    </w:div>
    <w:div w:id="1469934000">
      <w:bodyDiv w:val="1"/>
      <w:marLeft w:val="0"/>
      <w:marRight w:val="0"/>
      <w:marTop w:val="0"/>
      <w:marBottom w:val="0"/>
      <w:divBdr>
        <w:top w:val="none" w:sz="0" w:space="0" w:color="auto"/>
        <w:left w:val="none" w:sz="0" w:space="0" w:color="auto"/>
        <w:bottom w:val="none" w:sz="0" w:space="0" w:color="auto"/>
        <w:right w:val="none" w:sz="0" w:space="0" w:color="auto"/>
      </w:divBdr>
    </w:div>
    <w:div w:id="1477644328">
      <w:bodyDiv w:val="1"/>
      <w:marLeft w:val="0"/>
      <w:marRight w:val="0"/>
      <w:marTop w:val="0"/>
      <w:marBottom w:val="0"/>
      <w:divBdr>
        <w:top w:val="none" w:sz="0" w:space="0" w:color="auto"/>
        <w:left w:val="none" w:sz="0" w:space="0" w:color="auto"/>
        <w:bottom w:val="none" w:sz="0" w:space="0" w:color="auto"/>
        <w:right w:val="none" w:sz="0" w:space="0" w:color="auto"/>
      </w:divBdr>
    </w:div>
    <w:div w:id="1483502803">
      <w:bodyDiv w:val="1"/>
      <w:marLeft w:val="0"/>
      <w:marRight w:val="0"/>
      <w:marTop w:val="0"/>
      <w:marBottom w:val="0"/>
      <w:divBdr>
        <w:top w:val="none" w:sz="0" w:space="0" w:color="auto"/>
        <w:left w:val="none" w:sz="0" w:space="0" w:color="auto"/>
        <w:bottom w:val="none" w:sz="0" w:space="0" w:color="auto"/>
        <w:right w:val="none" w:sz="0" w:space="0" w:color="auto"/>
      </w:divBdr>
    </w:div>
    <w:div w:id="1485506924">
      <w:bodyDiv w:val="1"/>
      <w:marLeft w:val="0"/>
      <w:marRight w:val="0"/>
      <w:marTop w:val="0"/>
      <w:marBottom w:val="0"/>
      <w:divBdr>
        <w:top w:val="none" w:sz="0" w:space="0" w:color="auto"/>
        <w:left w:val="none" w:sz="0" w:space="0" w:color="auto"/>
        <w:bottom w:val="none" w:sz="0" w:space="0" w:color="auto"/>
        <w:right w:val="none" w:sz="0" w:space="0" w:color="auto"/>
      </w:divBdr>
    </w:div>
    <w:div w:id="1486312903">
      <w:bodyDiv w:val="1"/>
      <w:marLeft w:val="0"/>
      <w:marRight w:val="0"/>
      <w:marTop w:val="0"/>
      <w:marBottom w:val="0"/>
      <w:divBdr>
        <w:top w:val="none" w:sz="0" w:space="0" w:color="auto"/>
        <w:left w:val="none" w:sz="0" w:space="0" w:color="auto"/>
        <w:bottom w:val="none" w:sz="0" w:space="0" w:color="auto"/>
        <w:right w:val="none" w:sz="0" w:space="0" w:color="auto"/>
      </w:divBdr>
    </w:div>
    <w:div w:id="1487167384">
      <w:bodyDiv w:val="1"/>
      <w:marLeft w:val="0"/>
      <w:marRight w:val="0"/>
      <w:marTop w:val="0"/>
      <w:marBottom w:val="0"/>
      <w:divBdr>
        <w:top w:val="none" w:sz="0" w:space="0" w:color="auto"/>
        <w:left w:val="none" w:sz="0" w:space="0" w:color="auto"/>
        <w:bottom w:val="none" w:sz="0" w:space="0" w:color="auto"/>
        <w:right w:val="none" w:sz="0" w:space="0" w:color="auto"/>
      </w:divBdr>
    </w:div>
    <w:div w:id="1500659436">
      <w:bodyDiv w:val="1"/>
      <w:marLeft w:val="0"/>
      <w:marRight w:val="0"/>
      <w:marTop w:val="0"/>
      <w:marBottom w:val="0"/>
      <w:divBdr>
        <w:top w:val="none" w:sz="0" w:space="0" w:color="auto"/>
        <w:left w:val="none" w:sz="0" w:space="0" w:color="auto"/>
        <w:bottom w:val="none" w:sz="0" w:space="0" w:color="auto"/>
        <w:right w:val="none" w:sz="0" w:space="0" w:color="auto"/>
      </w:divBdr>
    </w:div>
    <w:div w:id="1503621802">
      <w:bodyDiv w:val="1"/>
      <w:marLeft w:val="0"/>
      <w:marRight w:val="0"/>
      <w:marTop w:val="0"/>
      <w:marBottom w:val="0"/>
      <w:divBdr>
        <w:top w:val="none" w:sz="0" w:space="0" w:color="auto"/>
        <w:left w:val="none" w:sz="0" w:space="0" w:color="auto"/>
        <w:bottom w:val="none" w:sz="0" w:space="0" w:color="auto"/>
        <w:right w:val="none" w:sz="0" w:space="0" w:color="auto"/>
      </w:divBdr>
    </w:div>
    <w:div w:id="1505125532">
      <w:bodyDiv w:val="1"/>
      <w:marLeft w:val="0"/>
      <w:marRight w:val="0"/>
      <w:marTop w:val="0"/>
      <w:marBottom w:val="0"/>
      <w:divBdr>
        <w:top w:val="none" w:sz="0" w:space="0" w:color="auto"/>
        <w:left w:val="none" w:sz="0" w:space="0" w:color="auto"/>
        <w:bottom w:val="none" w:sz="0" w:space="0" w:color="auto"/>
        <w:right w:val="none" w:sz="0" w:space="0" w:color="auto"/>
      </w:divBdr>
    </w:div>
    <w:div w:id="1523012822">
      <w:bodyDiv w:val="1"/>
      <w:marLeft w:val="0"/>
      <w:marRight w:val="0"/>
      <w:marTop w:val="0"/>
      <w:marBottom w:val="0"/>
      <w:divBdr>
        <w:top w:val="none" w:sz="0" w:space="0" w:color="auto"/>
        <w:left w:val="none" w:sz="0" w:space="0" w:color="auto"/>
        <w:bottom w:val="none" w:sz="0" w:space="0" w:color="auto"/>
        <w:right w:val="none" w:sz="0" w:space="0" w:color="auto"/>
      </w:divBdr>
    </w:div>
    <w:div w:id="1527870619">
      <w:bodyDiv w:val="1"/>
      <w:marLeft w:val="0"/>
      <w:marRight w:val="0"/>
      <w:marTop w:val="0"/>
      <w:marBottom w:val="0"/>
      <w:divBdr>
        <w:top w:val="none" w:sz="0" w:space="0" w:color="auto"/>
        <w:left w:val="none" w:sz="0" w:space="0" w:color="auto"/>
        <w:bottom w:val="none" w:sz="0" w:space="0" w:color="auto"/>
        <w:right w:val="none" w:sz="0" w:space="0" w:color="auto"/>
      </w:divBdr>
    </w:div>
    <w:div w:id="1528984730">
      <w:bodyDiv w:val="1"/>
      <w:marLeft w:val="0"/>
      <w:marRight w:val="0"/>
      <w:marTop w:val="0"/>
      <w:marBottom w:val="0"/>
      <w:divBdr>
        <w:top w:val="none" w:sz="0" w:space="0" w:color="auto"/>
        <w:left w:val="none" w:sz="0" w:space="0" w:color="auto"/>
        <w:bottom w:val="none" w:sz="0" w:space="0" w:color="auto"/>
        <w:right w:val="none" w:sz="0" w:space="0" w:color="auto"/>
      </w:divBdr>
    </w:div>
    <w:div w:id="1529106363">
      <w:bodyDiv w:val="1"/>
      <w:marLeft w:val="0"/>
      <w:marRight w:val="0"/>
      <w:marTop w:val="0"/>
      <w:marBottom w:val="0"/>
      <w:divBdr>
        <w:top w:val="none" w:sz="0" w:space="0" w:color="auto"/>
        <w:left w:val="none" w:sz="0" w:space="0" w:color="auto"/>
        <w:bottom w:val="none" w:sz="0" w:space="0" w:color="auto"/>
        <w:right w:val="none" w:sz="0" w:space="0" w:color="auto"/>
      </w:divBdr>
    </w:div>
    <w:div w:id="1537113081">
      <w:bodyDiv w:val="1"/>
      <w:marLeft w:val="0"/>
      <w:marRight w:val="0"/>
      <w:marTop w:val="0"/>
      <w:marBottom w:val="0"/>
      <w:divBdr>
        <w:top w:val="none" w:sz="0" w:space="0" w:color="auto"/>
        <w:left w:val="none" w:sz="0" w:space="0" w:color="auto"/>
        <w:bottom w:val="none" w:sz="0" w:space="0" w:color="auto"/>
        <w:right w:val="none" w:sz="0" w:space="0" w:color="auto"/>
      </w:divBdr>
    </w:div>
    <w:div w:id="1537615979">
      <w:bodyDiv w:val="1"/>
      <w:marLeft w:val="0"/>
      <w:marRight w:val="0"/>
      <w:marTop w:val="0"/>
      <w:marBottom w:val="0"/>
      <w:divBdr>
        <w:top w:val="none" w:sz="0" w:space="0" w:color="auto"/>
        <w:left w:val="none" w:sz="0" w:space="0" w:color="auto"/>
        <w:bottom w:val="none" w:sz="0" w:space="0" w:color="auto"/>
        <w:right w:val="none" w:sz="0" w:space="0" w:color="auto"/>
      </w:divBdr>
    </w:div>
    <w:div w:id="1552959454">
      <w:bodyDiv w:val="1"/>
      <w:marLeft w:val="0"/>
      <w:marRight w:val="0"/>
      <w:marTop w:val="0"/>
      <w:marBottom w:val="0"/>
      <w:divBdr>
        <w:top w:val="none" w:sz="0" w:space="0" w:color="auto"/>
        <w:left w:val="none" w:sz="0" w:space="0" w:color="auto"/>
        <w:bottom w:val="none" w:sz="0" w:space="0" w:color="auto"/>
        <w:right w:val="none" w:sz="0" w:space="0" w:color="auto"/>
      </w:divBdr>
    </w:div>
    <w:div w:id="1553079165">
      <w:bodyDiv w:val="1"/>
      <w:marLeft w:val="0"/>
      <w:marRight w:val="0"/>
      <w:marTop w:val="0"/>
      <w:marBottom w:val="0"/>
      <w:divBdr>
        <w:top w:val="none" w:sz="0" w:space="0" w:color="auto"/>
        <w:left w:val="none" w:sz="0" w:space="0" w:color="auto"/>
        <w:bottom w:val="none" w:sz="0" w:space="0" w:color="auto"/>
        <w:right w:val="none" w:sz="0" w:space="0" w:color="auto"/>
      </w:divBdr>
    </w:div>
    <w:div w:id="1561407926">
      <w:bodyDiv w:val="1"/>
      <w:marLeft w:val="0"/>
      <w:marRight w:val="0"/>
      <w:marTop w:val="0"/>
      <w:marBottom w:val="0"/>
      <w:divBdr>
        <w:top w:val="none" w:sz="0" w:space="0" w:color="auto"/>
        <w:left w:val="none" w:sz="0" w:space="0" w:color="auto"/>
        <w:bottom w:val="none" w:sz="0" w:space="0" w:color="auto"/>
        <w:right w:val="none" w:sz="0" w:space="0" w:color="auto"/>
      </w:divBdr>
    </w:div>
    <w:div w:id="1562672529">
      <w:bodyDiv w:val="1"/>
      <w:marLeft w:val="0"/>
      <w:marRight w:val="0"/>
      <w:marTop w:val="0"/>
      <w:marBottom w:val="0"/>
      <w:divBdr>
        <w:top w:val="none" w:sz="0" w:space="0" w:color="auto"/>
        <w:left w:val="none" w:sz="0" w:space="0" w:color="auto"/>
        <w:bottom w:val="none" w:sz="0" w:space="0" w:color="auto"/>
        <w:right w:val="none" w:sz="0" w:space="0" w:color="auto"/>
      </w:divBdr>
    </w:div>
    <w:div w:id="1567033227">
      <w:bodyDiv w:val="1"/>
      <w:marLeft w:val="0"/>
      <w:marRight w:val="0"/>
      <w:marTop w:val="0"/>
      <w:marBottom w:val="0"/>
      <w:divBdr>
        <w:top w:val="none" w:sz="0" w:space="0" w:color="auto"/>
        <w:left w:val="none" w:sz="0" w:space="0" w:color="auto"/>
        <w:bottom w:val="none" w:sz="0" w:space="0" w:color="auto"/>
        <w:right w:val="none" w:sz="0" w:space="0" w:color="auto"/>
      </w:divBdr>
    </w:div>
    <w:div w:id="1580944070">
      <w:bodyDiv w:val="1"/>
      <w:marLeft w:val="0"/>
      <w:marRight w:val="0"/>
      <w:marTop w:val="0"/>
      <w:marBottom w:val="0"/>
      <w:divBdr>
        <w:top w:val="none" w:sz="0" w:space="0" w:color="auto"/>
        <w:left w:val="none" w:sz="0" w:space="0" w:color="auto"/>
        <w:bottom w:val="none" w:sz="0" w:space="0" w:color="auto"/>
        <w:right w:val="none" w:sz="0" w:space="0" w:color="auto"/>
      </w:divBdr>
    </w:div>
    <w:div w:id="1585453089">
      <w:bodyDiv w:val="1"/>
      <w:marLeft w:val="0"/>
      <w:marRight w:val="0"/>
      <w:marTop w:val="0"/>
      <w:marBottom w:val="0"/>
      <w:divBdr>
        <w:top w:val="none" w:sz="0" w:space="0" w:color="auto"/>
        <w:left w:val="none" w:sz="0" w:space="0" w:color="auto"/>
        <w:bottom w:val="none" w:sz="0" w:space="0" w:color="auto"/>
        <w:right w:val="none" w:sz="0" w:space="0" w:color="auto"/>
      </w:divBdr>
    </w:div>
    <w:div w:id="1588733683">
      <w:bodyDiv w:val="1"/>
      <w:marLeft w:val="0"/>
      <w:marRight w:val="0"/>
      <w:marTop w:val="0"/>
      <w:marBottom w:val="0"/>
      <w:divBdr>
        <w:top w:val="none" w:sz="0" w:space="0" w:color="auto"/>
        <w:left w:val="none" w:sz="0" w:space="0" w:color="auto"/>
        <w:bottom w:val="none" w:sz="0" w:space="0" w:color="auto"/>
        <w:right w:val="none" w:sz="0" w:space="0" w:color="auto"/>
      </w:divBdr>
    </w:div>
    <w:div w:id="1590769453">
      <w:bodyDiv w:val="1"/>
      <w:marLeft w:val="0"/>
      <w:marRight w:val="0"/>
      <w:marTop w:val="0"/>
      <w:marBottom w:val="0"/>
      <w:divBdr>
        <w:top w:val="none" w:sz="0" w:space="0" w:color="auto"/>
        <w:left w:val="none" w:sz="0" w:space="0" w:color="auto"/>
        <w:bottom w:val="none" w:sz="0" w:space="0" w:color="auto"/>
        <w:right w:val="none" w:sz="0" w:space="0" w:color="auto"/>
      </w:divBdr>
    </w:div>
    <w:div w:id="1593976051">
      <w:bodyDiv w:val="1"/>
      <w:marLeft w:val="0"/>
      <w:marRight w:val="0"/>
      <w:marTop w:val="0"/>
      <w:marBottom w:val="0"/>
      <w:divBdr>
        <w:top w:val="none" w:sz="0" w:space="0" w:color="auto"/>
        <w:left w:val="none" w:sz="0" w:space="0" w:color="auto"/>
        <w:bottom w:val="none" w:sz="0" w:space="0" w:color="auto"/>
        <w:right w:val="none" w:sz="0" w:space="0" w:color="auto"/>
      </w:divBdr>
    </w:div>
    <w:div w:id="1601259796">
      <w:bodyDiv w:val="1"/>
      <w:marLeft w:val="0"/>
      <w:marRight w:val="0"/>
      <w:marTop w:val="0"/>
      <w:marBottom w:val="0"/>
      <w:divBdr>
        <w:top w:val="none" w:sz="0" w:space="0" w:color="auto"/>
        <w:left w:val="none" w:sz="0" w:space="0" w:color="auto"/>
        <w:bottom w:val="none" w:sz="0" w:space="0" w:color="auto"/>
        <w:right w:val="none" w:sz="0" w:space="0" w:color="auto"/>
      </w:divBdr>
    </w:div>
    <w:div w:id="1601600570">
      <w:bodyDiv w:val="1"/>
      <w:marLeft w:val="0"/>
      <w:marRight w:val="0"/>
      <w:marTop w:val="0"/>
      <w:marBottom w:val="0"/>
      <w:divBdr>
        <w:top w:val="none" w:sz="0" w:space="0" w:color="auto"/>
        <w:left w:val="none" w:sz="0" w:space="0" w:color="auto"/>
        <w:bottom w:val="none" w:sz="0" w:space="0" w:color="auto"/>
        <w:right w:val="none" w:sz="0" w:space="0" w:color="auto"/>
      </w:divBdr>
    </w:div>
    <w:div w:id="1605262888">
      <w:bodyDiv w:val="1"/>
      <w:marLeft w:val="0"/>
      <w:marRight w:val="0"/>
      <w:marTop w:val="0"/>
      <w:marBottom w:val="0"/>
      <w:divBdr>
        <w:top w:val="none" w:sz="0" w:space="0" w:color="auto"/>
        <w:left w:val="none" w:sz="0" w:space="0" w:color="auto"/>
        <w:bottom w:val="none" w:sz="0" w:space="0" w:color="auto"/>
        <w:right w:val="none" w:sz="0" w:space="0" w:color="auto"/>
      </w:divBdr>
    </w:div>
    <w:div w:id="1606419737">
      <w:bodyDiv w:val="1"/>
      <w:marLeft w:val="0"/>
      <w:marRight w:val="0"/>
      <w:marTop w:val="0"/>
      <w:marBottom w:val="0"/>
      <w:divBdr>
        <w:top w:val="none" w:sz="0" w:space="0" w:color="auto"/>
        <w:left w:val="none" w:sz="0" w:space="0" w:color="auto"/>
        <w:bottom w:val="none" w:sz="0" w:space="0" w:color="auto"/>
        <w:right w:val="none" w:sz="0" w:space="0" w:color="auto"/>
      </w:divBdr>
    </w:div>
    <w:div w:id="1610240047">
      <w:bodyDiv w:val="1"/>
      <w:marLeft w:val="0"/>
      <w:marRight w:val="0"/>
      <w:marTop w:val="0"/>
      <w:marBottom w:val="0"/>
      <w:divBdr>
        <w:top w:val="none" w:sz="0" w:space="0" w:color="auto"/>
        <w:left w:val="none" w:sz="0" w:space="0" w:color="auto"/>
        <w:bottom w:val="none" w:sz="0" w:space="0" w:color="auto"/>
        <w:right w:val="none" w:sz="0" w:space="0" w:color="auto"/>
      </w:divBdr>
    </w:div>
    <w:div w:id="1614944649">
      <w:bodyDiv w:val="1"/>
      <w:marLeft w:val="0"/>
      <w:marRight w:val="0"/>
      <w:marTop w:val="0"/>
      <w:marBottom w:val="0"/>
      <w:divBdr>
        <w:top w:val="none" w:sz="0" w:space="0" w:color="auto"/>
        <w:left w:val="none" w:sz="0" w:space="0" w:color="auto"/>
        <w:bottom w:val="none" w:sz="0" w:space="0" w:color="auto"/>
        <w:right w:val="none" w:sz="0" w:space="0" w:color="auto"/>
      </w:divBdr>
    </w:div>
    <w:div w:id="1618832079">
      <w:bodyDiv w:val="1"/>
      <w:marLeft w:val="0"/>
      <w:marRight w:val="0"/>
      <w:marTop w:val="0"/>
      <w:marBottom w:val="0"/>
      <w:divBdr>
        <w:top w:val="none" w:sz="0" w:space="0" w:color="auto"/>
        <w:left w:val="none" w:sz="0" w:space="0" w:color="auto"/>
        <w:bottom w:val="none" w:sz="0" w:space="0" w:color="auto"/>
        <w:right w:val="none" w:sz="0" w:space="0" w:color="auto"/>
      </w:divBdr>
    </w:div>
    <w:div w:id="1619488592">
      <w:bodyDiv w:val="1"/>
      <w:marLeft w:val="0"/>
      <w:marRight w:val="0"/>
      <w:marTop w:val="0"/>
      <w:marBottom w:val="0"/>
      <w:divBdr>
        <w:top w:val="none" w:sz="0" w:space="0" w:color="auto"/>
        <w:left w:val="none" w:sz="0" w:space="0" w:color="auto"/>
        <w:bottom w:val="none" w:sz="0" w:space="0" w:color="auto"/>
        <w:right w:val="none" w:sz="0" w:space="0" w:color="auto"/>
      </w:divBdr>
    </w:div>
    <w:div w:id="1650091504">
      <w:bodyDiv w:val="1"/>
      <w:marLeft w:val="0"/>
      <w:marRight w:val="0"/>
      <w:marTop w:val="0"/>
      <w:marBottom w:val="0"/>
      <w:divBdr>
        <w:top w:val="none" w:sz="0" w:space="0" w:color="auto"/>
        <w:left w:val="none" w:sz="0" w:space="0" w:color="auto"/>
        <w:bottom w:val="none" w:sz="0" w:space="0" w:color="auto"/>
        <w:right w:val="none" w:sz="0" w:space="0" w:color="auto"/>
      </w:divBdr>
    </w:div>
    <w:div w:id="1662152545">
      <w:bodyDiv w:val="1"/>
      <w:marLeft w:val="0"/>
      <w:marRight w:val="0"/>
      <w:marTop w:val="0"/>
      <w:marBottom w:val="0"/>
      <w:divBdr>
        <w:top w:val="none" w:sz="0" w:space="0" w:color="auto"/>
        <w:left w:val="none" w:sz="0" w:space="0" w:color="auto"/>
        <w:bottom w:val="none" w:sz="0" w:space="0" w:color="auto"/>
        <w:right w:val="none" w:sz="0" w:space="0" w:color="auto"/>
      </w:divBdr>
    </w:div>
    <w:div w:id="1667173378">
      <w:bodyDiv w:val="1"/>
      <w:marLeft w:val="0"/>
      <w:marRight w:val="0"/>
      <w:marTop w:val="0"/>
      <w:marBottom w:val="0"/>
      <w:divBdr>
        <w:top w:val="none" w:sz="0" w:space="0" w:color="auto"/>
        <w:left w:val="none" w:sz="0" w:space="0" w:color="auto"/>
        <w:bottom w:val="none" w:sz="0" w:space="0" w:color="auto"/>
        <w:right w:val="none" w:sz="0" w:space="0" w:color="auto"/>
      </w:divBdr>
    </w:div>
    <w:div w:id="1678116313">
      <w:bodyDiv w:val="1"/>
      <w:marLeft w:val="0"/>
      <w:marRight w:val="0"/>
      <w:marTop w:val="0"/>
      <w:marBottom w:val="0"/>
      <w:divBdr>
        <w:top w:val="none" w:sz="0" w:space="0" w:color="auto"/>
        <w:left w:val="none" w:sz="0" w:space="0" w:color="auto"/>
        <w:bottom w:val="none" w:sz="0" w:space="0" w:color="auto"/>
        <w:right w:val="none" w:sz="0" w:space="0" w:color="auto"/>
      </w:divBdr>
    </w:div>
    <w:div w:id="1682775723">
      <w:bodyDiv w:val="1"/>
      <w:marLeft w:val="0"/>
      <w:marRight w:val="0"/>
      <w:marTop w:val="0"/>
      <w:marBottom w:val="0"/>
      <w:divBdr>
        <w:top w:val="none" w:sz="0" w:space="0" w:color="auto"/>
        <w:left w:val="none" w:sz="0" w:space="0" w:color="auto"/>
        <w:bottom w:val="none" w:sz="0" w:space="0" w:color="auto"/>
        <w:right w:val="none" w:sz="0" w:space="0" w:color="auto"/>
      </w:divBdr>
    </w:div>
    <w:div w:id="1683435718">
      <w:bodyDiv w:val="1"/>
      <w:marLeft w:val="0"/>
      <w:marRight w:val="0"/>
      <w:marTop w:val="0"/>
      <w:marBottom w:val="0"/>
      <w:divBdr>
        <w:top w:val="none" w:sz="0" w:space="0" w:color="auto"/>
        <w:left w:val="none" w:sz="0" w:space="0" w:color="auto"/>
        <w:bottom w:val="none" w:sz="0" w:space="0" w:color="auto"/>
        <w:right w:val="none" w:sz="0" w:space="0" w:color="auto"/>
      </w:divBdr>
    </w:div>
    <w:div w:id="1701006419">
      <w:bodyDiv w:val="1"/>
      <w:marLeft w:val="0"/>
      <w:marRight w:val="0"/>
      <w:marTop w:val="0"/>
      <w:marBottom w:val="0"/>
      <w:divBdr>
        <w:top w:val="none" w:sz="0" w:space="0" w:color="auto"/>
        <w:left w:val="none" w:sz="0" w:space="0" w:color="auto"/>
        <w:bottom w:val="none" w:sz="0" w:space="0" w:color="auto"/>
        <w:right w:val="none" w:sz="0" w:space="0" w:color="auto"/>
      </w:divBdr>
    </w:div>
    <w:div w:id="1705011048">
      <w:bodyDiv w:val="1"/>
      <w:marLeft w:val="0"/>
      <w:marRight w:val="0"/>
      <w:marTop w:val="0"/>
      <w:marBottom w:val="0"/>
      <w:divBdr>
        <w:top w:val="none" w:sz="0" w:space="0" w:color="auto"/>
        <w:left w:val="none" w:sz="0" w:space="0" w:color="auto"/>
        <w:bottom w:val="none" w:sz="0" w:space="0" w:color="auto"/>
        <w:right w:val="none" w:sz="0" w:space="0" w:color="auto"/>
      </w:divBdr>
    </w:div>
    <w:div w:id="1705252283">
      <w:bodyDiv w:val="1"/>
      <w:marLeft w:val="0"/>
      <w:marRight w:val="0"/>
      <w:marTop w:val="0"/>
      <w:marBottom w:val="0"/>
      <w:divBdr>
        <w:top w:val="none" w:sz="0" w:space="0" w:color="auto"/>
        <w:left w:val="none" w:sz="0" w:space="0" w:color="auto"/>
        <w:bottom w:val="none" w:sz="0" w:space="0" w:color="auto"/>
        <w:right w:val="none" w:sz="0" w:space="0" w:color="auto"/>
      </w:divBdr>
    </w:div>
    <w:div w:id="1713772916">
      <w:bodyDiv w:val="1"/>
      <w:marLeft w:val="0"/>
      <w:marRight w:val="0"/>
      <w:marTop w:val="0"/>
      <w:marBottom w:val="0"/>
      <w:divBdr>
        <w:top w:val="none" w:sz="0" w:space="0" w:color="auto"/>
        <w:left w:val="none" w:sz="0" w:space="0" w:color="auto"/>
        <w:bottom w:val="none" w:sz="0" w:space="0" w:color="auto"/>
        <w:right w:val="none" w:sz="0" w:space="0" w:color="auto"/>
      </w:divBdr>
    </w:div>
    <w:div w:id="1721174234">
      <w:bodyDiv w:val="1"/>
      <w:marLeft w:val="0"/>
      <w:marRight w:val="0"/>
      <w:marTop w:val="0"/>
      <w:marBottom w:val="0"/>
      <w:divBdr>
        <w:top w:val="none" w:sz="0" w:space="0" w:color="auto"/>
        <w:left w:val="none" w:sz="0" w:space="0" w:color="auto"/>
        <w:bottom w:val="none" w:sz="0" w:space="0" w:color="auto"/>
        <w:right w:val="none" w:sz="0" w:space="0" w:color="auto"/>
      </w:divBdr>
    </w:div>
    <w:div w:id="1724869226">
      <w:bodyDiv w:val="1"/>
      <w:marLeft w:val="0"/>
      <w:marRight w:val="0"/>
      <w:marTop w:val="0"/>
      <w:marBottom w:val="0"/>
      <w:divBdr>
        <w:top w:val="none" w:sz="0" w:space="0" w:color="auto"/>
        <w:left w:val="none" w:sz="0" w:space="0" w:color="auto"/>
        <w:bottom w:val="none" w:sz="0" w:space="0" w:color="auto"/>
        <w:right w:val="none" w:sz="0" w:space="0" w:color="auto"/>
      </w:divBdr>
    </w:div>
    <w:div w:id="1730111930">
      <w:bodyDiv w:val="1"/>
      <w:marLeft w:val="0"/>
      <w:marRight w:val="0"/>
      <w:marTop w:val="0"/>
      <w:marBottom w:val="0"/>
      <w:divBdr>
        <w:top w:val="none" w:sz="0" w:space="0" w:color="auto"/>
        <w:left w:val="none" w:sz="0" w:space="0" w:color="auto"/>
        <w:bottom w:val="none" w:sz="0" w:space="0" w:color="auto"/>
        <w:right w:val="none" w:sz="0" w:space="0" w:color="auto"/>
      </w:divBdr>
    </w:div>
    <w:div w:id="1737361102">
      <w:bodyDiv w:val="1"/>
      <w:marLeft w:val="0"/>
      <w:marRight w:val="0"/>
      <w:marTop w:val="0"/>
      <w:marBottom w:val="0"/>
      <w:divBdr>
        <w:top w:val="none" w:sz="0" w:space="0" w:color="auto"/>
        <w:left w:val="none" w:sz="0" w:space="0" w:color="auto"/>
        <w:bottom w:val="none" w:sz="0" w:space="0" w:color="auto"/>
        <w:right w:val="none" w:sz="0" w:space="0" w:color="auto"/>
      </w:divBdr>
    </w:div>
    <w:div w:id="1738438680">
      <w:bodyDiv w:val="1"/>
      <w:marLeft w:val="0"/>
      <w:marRight w:val="0"/>
      <w:marTop w:val="0"/>
      <w:marBottom w:val="0"/>
      <w:divBdr>
        <w:top w:val="none" w:sz="0" w:space="0" w:color="auto"/>
        <w:left w:val="none" w:sz="0" w:space="0" w:color="auto"/>
        <w:bottom w:val="none" w:sz="0" w:space="0" w:color="auto"/>
        <w:right w:val="none" w:sz="0" w:space="0" w:color="auto"/>
      </w:divBdr>
    </w:div>
    <w:div w:id="1738698140">
      <w:bodyDiv w:val="1"/>
      <w:marLeft w:val="0"/>
      <w:marRight w:val="0"/>
      <w:marTop w:val="0"/>
      <w:marBottom w:val="0"/>
      <w:divBdr>
        <w:top w:val="none" w:sz="0" w:space="0" w:color="auto"/>
        <w:left w:val="none" w:sz="0" w:space="0" w:color="auto"/>
        <w:bottom w:val="none" w:sz="0" w:space="0" w:color="auto"/>
        <w:right w:val="none" w:sz="0" w:space="0" w:color="auto"/>
      </w:divBdr>
    </w:div>
    <w:div w:id="1739598020">
      <w:bodyDiv w:val="1"/>
      <w:marLeft w:val="0"/>
      <w:marRight w:val="0"/>
      <w:marTop w:val="0"/>
      <w:marBottom w:val="0"/>
      <w:divBdr>
        <w:top w:val="none" w:sz="0" w:space="0" w:color="auto"/>
        <w:left w:val="none" w:sz="0" w:space="0" w:color="auto"/>
        <w:bottom w:val="none" w:sz="0" w:space="0" w:color="auto"/>
        <w:right w:val="none" w:sz="0" w:space="0" w:color="auto"/>
      </w:divBdr>
    </w:div>
    <w:div w:id="1740253595">
      <w:bodyDiv w:val="1"/>
      <w:marLeft w:val="0"/>
      <w:marRight w:val="0"/>
      <w:marTop w:val="0"/>
      <w:marBottom w:val="0"/>
      <w:divBdr>
        <w:top w:val="none" w:sz="0" w:space="0" w:color="auto"/>
        <w:left w:val="none" w:sz="0" w:space="0" w:color="auto"/>
        <w:bottom w:val="none" w:sz="0" w:space="0" w:color="auto"/>
        <w:right w:val="none" w:sz="0" w:space="0" w:color="auto"/>
      </w:divBdr>
    </w:div>
    <w:div w:id="1758019315">
      <w:bodyDiv w:val="1"/>
      <w:marLeft w:val="0"/>
      <w:marRight w:val="0"/>
      <w:marTop w:val="0"/>
      <w:marBottom w:val="0"/>
      <w:divBdr>
        <w:top w:val="none" w:sz="0" w:space="0" w:color="auto"/>
        <w:left w:val="none" w:sz="0" w:space="0" w:color="auto"/>
        <w:bottom w:val="none" w:sz="0" w:space="0" w:color="auto"/>
        <w:right w:val="none" w:sz="0" w:space="0" w:color="auto"/>
      </w:divBdr>
    </w:div>
    <w:div w:id="1758941574">
      <w:bodyDiv w:val="1"/>
      <w:marLeft w:val="0"/>
      <w:marRight w:val="0"/>
      <w:marTop w:val="0"/>
      <w:marBottom w:val="0"/>
      <w:divBdr>
        <w:top w:val="none" w:sz="0" w:space="0" w:color="auto"/>
        <w:left w:val="none" w:sz="0" w:space="0" w:color="auto"/>
        <w:bottom w:val="none" w:sz="0" w:space="0" w:color="auto"/>
        <w:right w:val="none" w:sz="0" w:space="0" w:color="auto"/>
      </w:divBdr>
    </w:div>
    <w:div w:id="1767925946">
      <w:bodyDiv w:val="1"/>
      <w:marLeft w:val="0"/>
      <w:marRight w:val="0"/>
      <w:marTop w:val="0"/>
      <w:marBottom w:val="0"/>
      <w:divBdr>
        <w:top w:val="none" w:sz="0" w:space="0" w:color="auto"/>
        <w:left w:val="none" w:sz="0" w:space="0" w:color="auto"/>
        <w:bottom w:val="none" w:sz="0" w:space="0" w:color="auto"/>
        <w:right w:val="none" w:sz="0" w:space="0" w:color="auto"/>
      </w:divBdr>
    </w:div>
    <w:div w:id="1771773623">
      <w:bodyDiv w:val="1"/>
      <w:marLeft w:val="0"/>
      <w:marRight w:val="0"/>
      <w:marTop w:val="0"/>
      <w:marBottom w:val="0"/>
      <w:divBdr>
        <w:top w:val="none" w:sz="0" w:space="0" w:color="auto"/>
        <w:left w:val="none" w:sz="0" w:space="0" w:color="auto"/>
        <w:bottom w:val="none" w:sz="0" w:space="0" w:color="auto"/>
        <w:right w:val="none" w:sz="0" w:space="0" w:color="auto"/>
      </w:divBdr>
    </w:div>
    <w:div w:id="1773746762">
      <w:bodyDiv w:val="1"/>
      <w:marLeft w:val="0"/>
      <w:marRight w:val="0"/>
      <w:marTop w:val="0"/>
      <w:marBottom w:val="0"/>
      <w:divBdr>
        <w:top w:val="none" w:sz="0" w:space="0" w:color="auto"/>
        <w:left w:val="none" w:sz="0" w:space="0" w:color="auto"/>
        <w:bottom w:val="none" w:sz="0" w:space="0" w:color="auto"/>
        <w:right w:val="none" w:sz="0" w:space="0" w:color="auto"/>
      </w:divBdr>
    </w:div>
    <w:div w:id="1775979629">
      <w:bodyDiv w:val="1"/>
      <w:marLeft w:val="0"/>
      <w:marRight w:val="0"/>
      <w:marTop w:val="0"/>
      <w:marBottom w:val="0"/>
      <w:divBdr>
        <w:top w:val="none" w:sz="0" w:space="0" w:color="auto"/>
        <w:left w:val="none" w:sz="0" w:space="0" w:color="auto"/>
        <w:bottom w:val="none" w:sz="0" w:space="0" w:color="auto"/>
        <w:right w:val="none" w:sz="0" w:space="0" w:color="auto"/>
      </w:divBdr>
    </w:div>
    <w:div w:id="1776094451">
      <w:bodyDiv w:val="1"/>
      <w:marLeft w:val="0"/>
      <w:marRight w:val="0"/>
      <w:marTop w:val="0"/>
      <w:marBottom w:val="0"/>
      <w:divBdr>
        <w:top w:val="none" w:sz="0" w:space="0" w:color="auto"/>
        <w:left w:val="none" w:sz="0" w:space="0" w:color="auto"/>
        <w:bottom w:val="none" w:sz="0" w:space="0" w:color="auto"/>
        <w:right w:val="none" w:sz="0" w:space="0" w:color="auto"/>
      </w:divBdr>
    </w:div>
    <w:div w:id="1779519178">
      <w:bodyDiv w:val="1"/>
      <w:marLeft w:val="0"/>
      <w:marRight w:val="0"/>
      <w:marTop w:val="0"/>
      <w:marBottom w:val="0"/>
      <w:divBdr>
        <w:top w:val="none" w:sz="0" w:space="0" w:color="auto"/>
        <w:left w:val="none" w:sz="0" w:space="0" w:color="auto"/>
        <w:bottom w:val="none" w:sz="0" w:space="0" w:color="auto"/>
        <w:right w:val="none" w:sz="0" w:space="0" w:color="auto"/>
      </w:divBdr>
    </w:div>
    <w:div w:id="1785417275">
      <w:bodyDiv w:val="1"/>
      <w:marLeft w:val="0"/>
      <w:marRight w:val="0"/>
      <w:marTop w:val="0"/>
      <w:marBottom w:val="0"/>
      <w:divBdr>
        <w:top w:val="none" w:sz="0" w:space="0" w:color="auto"/>
        <w:left w:val="none" w:sz="0" w:space="0" w:color="auto"/>
        <w:bottom w:val="none" w:sz="0" w:space="0" w:color="auto"/>
        <w:right w:val="none" w:sz="0" w:space="0" w:color="auto"/>
      </w:divBdr>
    </w:div>
    <w:div w:id="1786265160">
      <w:bodyDiv w:val="1"/>
      <w:marLeft w:val="0"/>
      <w:marRight w:val="0"/>
      <w:marTop w:val="0"/>
      <w:marBottom w:val="0"/>
      <w:divBdr>
        <w:top w:val="none" w:sz="0" w:space="0" w:color="auto"/>
        <w:left w:val="none" w:sz="0" w:space="0" w:color="auto"/>
        <w:bottom w:val="none" w:sz="0" w:space="0" w:color="auto"/>
        <w:right w:val="none" w:sz="0" w:space="0" w:color="auto"/>
      </w:divBdr>
    </w:div>
    <w:div w:id="1789736179">
      <w:bodyDiv w:val="1"/>
      <w:marLeft w:val="0"/>
      <w:marRight w:val="0"/>
      <w:marTop w:val="0"/>
      <w:marBottom w:val="0"/>
      <w:divBdr>
        <w:top w:val="none" w:sz="0" w:space="0" w:color="auto"/>
        <w:left w:val="none" w:sz="0" w:space="0" w:color="auto"/>
        <w:bottom w:val="none" w:sz="0" w:space="0" w:color="auto"/>
        <w:right w:val="none" w:sz="0" w:space="0" w:color="auto"/>
      </w:divBdr>
    </w:div>
    <w:div w:id="1790511725">
      <w:bodyDiv w:val="1"/>
      <w:marLeft w:val="0"/>
      <w:marRight w:val="0"/>
      <w:marTop w:val="0"/>
      <w:marBottom w:val="0"/>
      <w:divBdr>
        <w:top w:val="none" w:sz="0" w:space="0" w:color="auto"/>
        <w:left w:val="none" w:sz="0" w:space="0" w:color="auto"/>
        <w:bottom w:val="none" w:sz="0" w:space="0" w:color="auto"/>
        <w:right w:val="none" w:sz="0" w:space="0" w:color="auto"/>
      </w:divBdr>
    </w:div>
    <w:div w:id="1804424756">
      <w:bodyDiv w:val="1"/>
      <w:marLeft w:val="0"/>
      <w:marRight w:val="0"/>
      <w:marTop w:val="0"/>
      <w:marBottom w:val="0"/>
      <w:divBdr>
        <w:top w:val="none" w:sz="0" w:space="0" w:color="auto"/>
        <w:left w:val="none" w:sz="0" w:space="0" w:color="auto"/>
        <w:bottom w:val="none" w:sz="0" w:space="0" w:color="auto"/>
        <w:right w:val="none" w:sz="0" w:space="0" w:color="auto"/>
      </w:divBdr>
    </w:div>
    <w:div w:id="1822382553">
      <w:bodyDiv w:val="1"/>
      <w:marLeft w:val="0"/>
      <w:marRight w:val="0"/>
      <w:marTop w:val="0"/>
      <w:marBottom w:val="0"/>
      <w:divBdr>
        <w:top w:val="none" w:sz="0" w:space="0" w:color="auto"/>
        <w:left w:val="none" w:sz="0" w:space="0" w:color="auto"/>
        <w:bottom w:val="none" w:sz="0" w:space="0" w:color="auto"/>
        <w:right w:val="none" w:sz="0" w:space="0" w:color="auto"/>
      </w:divBdr>
    </w:div>
    <w:div w:id="1825121318">
      <w:bodyDiv w:val="1"/>
      <w:marLeft w:val="0"/>
      <w:marRight w:val="0"/>
      <w:marTop w:val="0"/>
      <w:marBottom w:val="0"/>
      <w:divBdr>
        <w:top w:val="none" w:sz="0" w:space="0" w:color="auto"/>
        <w:left w:val="none" w:sz="0" w:space="0" w:color="auto"/>
        <w:bottom w:val="none" w:sz="0" w:space="0" w:color="auto"/>
        <w:right w:val="none" w:sz="0" w:space="0" w:color="auto"/>
      </w:divBdr>
    </w:div>
    <w:div w:id="1827044883">
      <w:bodyDiv w:val="1"/>
      <w:marLeft w:val="0"/>
      <w:marRight w:val="0"/>
      <w:marTop w:val="0"/>
      <w:marBottom w:val="0"/>
      <w:divBdr>
        <w:top w:val="none" w:sz="0" w:space="0" w:color="auto"/>
        <w:left w:val="none" w:sz="0" w:space="0" w:color="auto"/>
        <w:bottom w:val="none" w:sz="0" w:space="0" w:color="auto"/>
        <w:right w:val="none" w:sz="0" w:space="0" w:color="auto"/>
      </w:divBdr>
    </w:div>
    <w:div w:id="1828784319">
      <w:bodyDiv w:val="1"/>
      <w:marLeft w:val="0"/>
      <w:marRight w:val="0"/>
      <w:marTop w:val="0"/>
      <w:marBottom w:val="0"/>
      <w:divBdr>
        <w:top w:val="none" w:sz="0" w:space="0" w:color="auto"/>
        <w:left w:val="none" w:sz="0" w:space="0" w:color="auto"/>
        <w:bottom w:val="none" w:sz="0" w:space="0" w:color="auto"/>
        <w:right w:val="none" w:sz="0" w:space="0" w:color="auto"/>
      </w:divBdr>
    </w:div>
    <w:div w:id="1829444998">
      <w:bodyDiv w:val="1"/>
      <w:marLeft w:val="0"/>
      <w:marRight w:val="0"/>
      <w:marTop w:val="0"/>
      <w:marBottom w:val="0"/>
      <w:divBdr>
        <w:top w:val="none" w:sz="0" w:space="0" w:color="auto"/>
        <w:left w:val="none" w:sz="0" w:space="0" w:color="auto"/>
        <w:bottom w:val="none" w:sz="0" w:space="0" w:color="auto"/>
        <w:right w:val="none" w:sz="0" w:space="0" w:color="auto"/>
      </w:divBdr>
    </w:div>
    <w:div w:id="1829979036">
      <w:bodyDiv w:val="1"/>
      <w:marLeft w:val="0"/>
      <w:marRight w:val="0"/>
      <w:marTop w:val="0"/>
      <w:marBottom w:val="0"/>
      <w:divBdr>
        <w:top w:val="none" w:sz="0" w:space="0" w:color="auto"/>
        <w:left w:val="none" w:sz="0" w:space="0" w:color="auto"/>
        <w:bottom w:val="none" w:sz="0" w:space="0" w:color="auto"/>
        <w:right w:val="none" w:sz="0" w:space="0" w:color="auto"/>
      </w:divBdr>
    </w:div>
    <w:div w:id="1832477279">
      <w:bodyDiv w:val="1"/>
      <w:marLeft w:val="0"/>
      <w:marRight w:val="0"/>
      <w:marTop w:val="0"/>
      <w:marBottom w:val="0"/>
      <w:divBdr>
        <w:top w:val="none" w:sz="0" w:space="0" w:color="auto"/>
        <w:left w:val="none" w:sz="0" w:space="0" w:color="auto"/>
        <w:bottom w:val="none" w:sz="0" w:space="0" w:color="auto"/>
        <w:right w:val="none" w:sz="0" w:space="0" w:color="auto"/>
      </w:divBdr>
    </w:div>
    <w:div w:id="1834367866">
      <w:bodyDiv w:val="1"/>
      <w:marLeft w:val="0"/>
      <w:marRight w:val="0"/>
      <w:marTop w:val="0"/>
      <w:marBottom w:val="0"/>
      <w:divBdr>
        <w:top w:val="none" w:sz="0" w:space="0" w:color="auto"/>
        <w:left w:val="none" w:sz="0" w:space="0" w:color="auto"/>
        <w:bottom w:val="none" w:sz="0" w:space="0" w:color="auto"/>
        <w:right w:val="none" w:sz="0" w:space="0" w:color="auto"/>
      </w:divBdr>
    </w:div>
    <w:div w:id="1843935969">
      <w:bodyDiv w:val="1"/>
      <w:marLeft w:val="0"/>
      <w:marRight w:val="0"/>
      <w:marTop w:val="0"/>
      <w:marBottom w:val="0"/>
      <w:divBdr>
        <w:top w:val="none" w:sz="0" w:space="0" w:color="auto"/>
        <w:left w:val="none" w:sz="0" w:space="0" w:color="auto"/>
        <w:bottom w:val="none" w:sz="0" w:space="0" w:color="auto"/>
        <w:right w:val="none" w:sz="0" w:space="0" w:color="auto"/>
      </w:divBdr>
    </w:div>
    <w:div w:id="1855459704">
      <w:bodyDiv w:val="1"/>
      <w:marLeft w:val="0"/>
      <w:marRight w:val="0"/>
      <w:marTop w:val="0"/>
      <w:marBottom w:val="0"/>
      <w:divBdr>
        <w:top w:val="none" w:sz="0" w:space="0" w:color="auto"/>
        <w:left w:val="none" w:sz="0" w:space="0" w:color="auto"/>
        <w:bottom w:val="none" w:sz="0" w:space="0" w:color="auto"/>
        <w:right w:val="none" w:sz="0" w:space="0" w:color="auto"/>
      </w:divBdr>
    </w:div>
    <w:div w:id="1857189375">
      <w:bodyDiv w:val="1"/>
      <w:marLeft w:val="0"/>
      <w:marRight w:val="0"/>
      <w:marTop w:val="0"/>
      <w:marBottom w:val="0"/>
      <w:divBdr>
        <w:top w:val="none" w:sz="0" w:space="0" w:color="auto"/>
        <w:left w:val="none" w:sz="0" w:space="0" w:color="auto"/>
        <w:bottom w:val="none" w:sz="0" w:space="0" w:color="auto"/>
        <w:right w:val="none" w:sz="0" w:space="0" w:color="auto"/>
      </w:divBdr>
    </w:div>
    <w:div w:id="1864398202">
      <w:bodyDiv w:val="1"/>
      <w:marLeft w:val="0"/>
      <w:marRight w:val="0"/>
      <w:marTop w:val="0"/>
      <w:marBottom w:val="0"/>
      <w:divBdr>
        <w:top w:val="none" w:sz="0" w:space="0" w:color="auto"/>
        <w:left w:val="none" w:sz="0" w:space="0" w:color="auto"/>
        <w:bottom w:val="none" w:sz="0" w:space="0" w:color="auto"/>
        <w:right w:val="none" w:sz="0" w:space="0" w:color="auto"/>
      </w:divBdr>
    </w:div>
    <w:div w:id="1870601278">
      <w:bodyDiv w:val="1"/>
      <w:marLeft w:val="0"/>
      <w:marRight w:val="0"/>
      <w:marTop w:val="0"/>
      <w:marBottom w:val="0"/>
      <w:divBdr>
        <w:top w:val="none" w:sz="0" w:space="0" w:color="auto"/>
        <w:left w:val="none" w:sz="0" w:space="0" w:color="auto"/>
        <w:bottom w:val="none" w:sz="0" w:space="0" w:color="auto"/>
        <w:right w:val="none" w:sz="0" w:space="0" w:color="auto"/>
      </w:divBdr>
    </w:div>
    <w:div w:id="1873683449">
      <w:bodyDiv w:val="1"/>
      <w:marLeft w:val="0"/>
      <w:marRight w:val="0"/>
      <w:marTop w:val="0"/>
      <w:marBottom w:val="0"/>
      <w:divBdr>
        <w:top w:val="none" w:sz="0" w:space="0" w:color="auto"/>
        <w:left w:val="none" w:sz="0" w:space="0" w:color="auto"/>
        <w:bottom w:val="none" w:sz="0" w:space="0" w:color="auto"/>
        <w:right w:val="none" w:sz="0" w:space="0" w:color="auto"/>
      </w:divBdr>
    </w:div>
    <w:div w:id="1876262603">
      <w:bodyDiv w:val="1"/>
      <w:marLeft w:val="0"/>
      <w:marRight w:val="0"/>
      <w:marTop w:val="0"/>
      <w:marBottom w:val="0"/>
      <w:divBdr>
        <w:top w:val="none" w:sz="0" w:space="0" w:color="auto"/>
        <w:left w:val="none" w:sz="0" w:space="0" w:color="auto"/>
        <w:bottom w:val="none" w:sz="0" w:space="0" w:color="auto"/>
        <w:right w:val="none" w:sz="0" w:space="0" w:color="auto"/>
      </w:divBdr>
    </w:div>
    <w:div w:id="1876648455">
      <w:bodyDiv w:val="1"/>
      <w:marLeft w:val="0"/>
      <w:marRight w:val="0"/>
      <w:marTop w:val="0"/>
      <w:marBottom w:val="0"/>
      <w:divBdr>
        <w:top w:val="none" w:sz="0" w:space="0" w:color="auto"/>
        <w:left w:val="none" w:sz="0" w:space="0" w:color="auto"/>
        <w:bottom w:val="none" w:sz="0" w:space="0" w:color="auto"/>
        <w:right w:val="none" w:sz="0" w:space="0" w:color="auto"/>
      </w:divBdr>
    </w:div>
    <w:div w:id="1878616276">
      <w:bodyDiv w:val="1"/>
      <w:marLeft w:val="0"/>
      <w:marRight w:val="0"/>
      <w:marTop w:val="0"/>
      <w:marBottom w:val="0"/>
      <w:divBdr>
        <w:top w:val="none" w:sz="0" w:space="0" w:color="auto"/>
        <w:left w:val="none" w:sz="0" w:space="0" w:color="auto"/>
        <w:bottom w:val="none" w:sz="0" w:space="0" w:color="auto"/>
        <w:right w:val="none" w:sz="0" w:space="0" w:color="auto"/>
      </w:divBdr>
    </w:div>
    <w:div w:id="1879272956">
      <w:bodyDiv w:val="1"/>
      <w:marLeft w:val="0"/>
      <w:marRight w:val="0"/>
      <w:marTop w:val="0"/>
      <w:marBottom w:val="0"/>
      <w:divBdr>
        <w:top w:val="none" w:sz="0" w:space="0" w:color="auto"/>
        <w:left w:val="none" w:sz="0" w:space="0" w:color="auto"/>
        <w:bottom w:val="none" w:sz="0" w:space="0" w:color="auto"/>
        <w:right w:val="none" w:sz="0" w:space="0" w:color="auto"/>
      </w:divBdr>
    </w:div>
    <w:div w:id="1892840271">
      <w:bodyDiv w:val="1"/>
      <w:marLeft w:val="0"/>
      <w:marRight w:val="0"/>
      <w:marTop w:val="0"/>
      <w:marBottom w:val="0"/>
      <w:divBdr>
        <w:top w:val="none" w:sz="0" w:space="0" w:color="auto"/>
        <w:left w:val="none" w:sz="0" w:space="0" w:color="auto"/>
        <w:bottom w:val="none" w:sz="0" w:space="0" w:color="auto"/>
        <w:right w:val="none" w:sz="0" w:space="0" w:color="auto"/>
      </w:divBdr>
    </w:div>
    <w:div w:id="1896351889">
      <w:bodyDiv w:val="1"/>
      <w:marLeft w:val="0"/>
      <w:marRight w:val="0"/>
      <w:marTop w:val="0"/>
      <w:marBottom w:val="0"/>
      <w:divBdr>
        <w:top w:val="none" w:sz="0" w:space="0" w:color="auto"/>
        <w:left w:val="none" w:sz="0" w:space="0" w:color="auto"/>
        <w:bottom w:val="none" w:sz="0" w:space="0" w:color="auto"/>
        <w:right w:val="none" w:sz="0" w:space="0" w:color="auto"/>
      </w:divBdr>
    </w:div>
    <w:div w:id="1896815357">
      <w:bodyDiv w:val="1"/>
      <w:marLeft w:val="0"/>
      <w:marRight w:val="0"/>
      <w:marTop w:val="0"/>
      <w:marBottom w:val="0"/>
      <w:divBdr>
        <w:top w:val="none" w:sz="0" w:space="0" w:color="auto"/>
        <w:left w:val="none" w:sz="0" w:space="0" w:color="auto"/>
        <w:bottom w:val="none" w:sz="0" w:space="0" w:color="auto"/>
        <w:right w:val="none" w:sz="0" w:space="0" w:color="auto"/>
      </w:divBdr>
    </w:div>
    <w:div w:id="1901861641">
      <w:bodyDiv w:val="1"/>
      <w:marLeft w:val="0"/>
      <w:marRight w:val="0"/>
      <w:marTop w:val="0"/>
      <w:marBottom w:val="0"/>
      <w:divBdr>
        <w:top w:val="none" w:sz="0" w:space="0" w:color="auto"/>
        <w:left w:val="none" w:sz="0" w:space="0" w:color="auto"/>
        <w:bottom w:val="none" w:sz="0" w:space="0" w:color="auto"/>
        <w:right w:val="none" w:sz="0" w:space="0" w:color="auto"/>
      </w:divBdr>
    </w:div>
    <w:div w:id="1905602493">
      <w:bodyDiv w:val="1"/>
      <w:marLeft w:val="0"/>
      <w:marRight w:val="0"/>
      <w:marTop w:val="0"/>
      <w:marBottom w:val="0"/>
      <w:divBdr>
        <w:top w:val="none" w:sz="0" w:space="0" w:color="auto"/>
        <w:left w:val="none" w:sz="0" w:space="0" w:color="auto"/>
        <w:bottom w:val="none" w:sz="0" w:space="0" w:color="auto"/>
        <w:right w:val="none" w:sz="0" w:space="0" w:color="auto"/>
      </w:divBdr>
    </w:div>
    <w:div w:id="1919092407">
      <w:bodyDiv w:val="1"/>
      <w:marLeft w:val="0"/>
      <w:marRight w:val="0"/>
      <w:marTop w:val="0"/>
      <w:marBottom w:val="0"/>
      <w:divBdr>
        <w:top w:val="none" w:sz="0" w:space="0" w:color="auto"/>
        <w:left w:val="none" w:sz="0" w:space="0" w:color="auto"/>
        <w:bottom w:val="none" w:sz="0" w:space="0" w:color="auto"/>
        <w:right w:val="none" w:sz="0" w:space="0" w:color="auto"/>
      </w:divBdr>
    </w:div>
    <w:div w:id="1925452834">
      <w:bodyDiv w:val="1"/>
      <w:marLeft w:val="0"/>
      <w:marRight w:val="0"/>
      <w:marTop w:val="0"/>
      <w:marBottom w:val="0"/>
      <w:divBdr>
        <w:top w:val="none" w:sz="0" w:space="0" w:color="auto"/>
        <w:left w:val="none" w:sz="0" w:space="0" w:color="auto"/>
        <w:bottom w:val="none" w:sz="0" w:space="0" w:color="auto"/>
        <w:right w:val="none" w:sz="0" w:space="0" w:color="auto"/>
      </w:divBdr>
    </w:div>
    <w:div w:id="1931425599">
      <w:bodyDiv w:val="1"/>
      <w:marLeft w:val="0"/>
      <w:marRight w:val="0"/>
      <w:marTop w:val="0"/>
      <w:marBottom w:val="0"/>
      <w:divBdr>
        <w:top w:val="none" w:sz="0" w:space="0" w:color="auto"/>
        <w:left w:val="none" w:sz="0" w:space="0" w:color="auto"/>
        <w:bottom w:val="none" w:sz="0" w:space="0" w:color="auto"/>
        <w:right w:val="none" w:sz="0" w:space="0" w:color="auto"/>
      </w:divBdr>
    </w:div>
    <w:div w:id="1940486571">
      <w:bodyDiv w:val="1"/>
      <w:marLeft w:val="0"/>
      <w:marRight w:val="0"/>
      <w:marTop w:val="0"/>
      <w:marBottom w:val="0"/>
      <w:divBdr>
        <w:top w:val="none" w:sz="0" w:space="0" w:color="auto"/>
        <w:left w:val="none" w:sz="0" w:space="0" w:color="auto"/>
        <w:bottom w:val="none" w:sz="0" w:space="0" w:color="auto"/>
        <w:right w:val="none" w:sz="0" w:space="0" w:color="auto"/>
      </w:divBdr>
    </w:div>
    <w:div w:id="1943535798">
      <w:bodyDiv w:val="1"/>
      <w:marLeft w:val="0"/>
      <w:marRight w:val="0"/>
      <w:marTop w:val="0"/>
      <w:marBottom w:val="0"/>
      <w:divBdr>
        <w:top w:val="none" w:sz="0" w:space="0" w:color="auto"/>
        <w:left w:val="none" w:sz="0" w:space="0" w:color="auto"/>
        <w:bottom w:val="none" w:sz="0" w:space="0" w:color="auto"/>
        <w:right w:val="none" w:sz="0" w:space="0" w:color="auto"/>
      </w:divBdr>
    </w:div>
    <w:div w:id="1949312419">
      <w:bodyDiv w:val="1"/>
      <w:marLeft w:val="0"/>
      <w:marRight w:val="0"/>
      <w:marTop w:val="0"/>
      <w:marBottom w:val="0"/>
      <w:divBdr>
        <w:top w:val="none" w:sz="0" w:space="0" w:color="auto"/>
        <w:left w:val="none" w:sz="0" w:space="0" w:color="auto"/>
        <w:bottom w:val="none" w:sz="0" w:space="0" w:color="auto"/>
        <w:right w:val="none" w:sz="0" w:space="0" w:color="auto"/>
      </w:divBdr>
    </w:div>
    <w:div w:id="1955283424">
      <w:bodyDiv w:val="1"/>
      <w:marLeft w:val="0"/>
      <w:marRight w:val="0"/>
      <w:marTop w:val="0"/>
      <w:marBottom w:val="0"/>
      <w:divBdr>
        <w:top w:val="none" w:sz="0" w:space="0" w:color="auto"/>
        <w:left w:val="none" w:sz="0" w:space="0" w:color="auto"/>
        <w:bottom w:val="none" w:sz="0" w:space="0" w:color="auto"/>
        <w:right w:val="none" w:sz="0" w:space="0" w:color="auto"/>
      </w:divBdr>
    </w:div>
    <w:div w:id="1961498846">
      <w:bodyDiv w:val="1"/>
      <w:marLeft w:val="0"/>
      <w:marRight w:val="0"/>
      <w:marTop w:val="0"/>
      <w:marBottom w:val="0"/>
      <w:divBdr>
        <w:top w:val="none" w:sz="0" w:space="0" w:color="auto"/>
        <w:left w:val="none" w:sz="0" w:space="0" w:color="auto"/>
        <w:bottom w:val="none" w:sz="0" w:space="0" w:color="auto"/>
        <w:right w:val="none" w:sz="0" w:space="0" w:color="auto"/>
      </w:divBdr>
    </w:div>
    <w:div w:id="1964844492">
      <w:bodyDiv w:val="1"/>
      <w:marLeft w:val="0"/>
      <w:marRight w:val="0"/>
      <w:marTop w:val="0"/>
      <w:marBottom w:val="0"/>
      <w:divBdr>
        <w:top w:val="none" w:sz="0" w:space="0" w:color="auto"/>
        <w:left w:val="none" w:sz="0" w:space="0" w:color="auto"/>
        <w:bottom w:val="none" w:sz="0" w:space="0" w:color="auto"/>
        <w:right w:val="none" w:sz="0" w:space="0" w:color="auto"/>
      </w:divBdr>
    </w:div>
    <w:div w:id="1971781986">
      <w:bodyDiv w:val="1"/>
      <w:marLeft w:val="0"/>
      <w:marRight w:val="0"/>
      <w:marTop w:val="0"/>
      <w:marBottom w:val="0"/>
      <w:divBdr>
        <w:top w:val="none" w:sz="0" w:space="0" w:color="auto"/>
        <w:left w:val="none" w:sz="0" w:space="0" w:color="auto"/>
        <w:bottom w:val="none" w:sz="0" w:space="0" w:color="auto"/>
        <w:right w:val="none" w:sz="0" w:space="0" w:color="auto"/>
      </w:divBdr>
    </w:div>
    <w:div w:id="1976328799">
      <w:bodyDiv w:val="1"/>
      <w:marLeft w:val="0"/>
      <w:marRight w:val="0"/>
      <w:marTop w:val="0"/>
      <w:marBottom w:val="0"/>
      <w:divBdr>
        <w:top w:val="none" w:sz="0" w:space="0" w:color="auto"/>
        <w:left w:val="none" w:sz="0" w:space="0" w:color="auto"/>
        <w:bottom w:val="none" w:sz="0" w:space="0" w:color="auto"/>
        <w:right w:val="none" w:sz="0" w:space="0" w:color="auto"/>
      </w:divBdr>
    </w:div>
    <w:div w:id="1977375925">
      <w:bodyDiv w:val="1"/>
      <w:marLeft w:val="0"/>
      <w:marRight w:val="0"/>
      <w:marTop w:val="0"/>
      <w:marBottom w:val="0"/>
      <w:divBdr>
        <w:top w:val="none" w:sz="0" w:space="0" w:color="auto"/>
        <w:left w:val="none" w:sz="0" w:space="0" w:color="auto"/>
        <w:bottom w:val="none" w:sz="0" w:space="0" w:color="auto"/>
        <w:right w:val="none" w:sz="0" w:space="0" w:color="auto"/>
      </w:divBdr>
    </w:div>
    <w:div w:id="1978224238">
      <w:bodyDiv w:val="1"/>
      <w:marLeft w:val="0"/>
      <w:marRight w:val="0"/>
      <w:marTop w:val="0"/>
      <w:marBottom w:val="0"/>
      <w:divBdr>
        <w:top w:val="none" w:sz="0" w:space="0" w:color="auto"/>
        <w:left w:val="none" w:sz="0" w:space="0" w:color="auto"/>
        <w:bottom w:val="none" w:sz="0" w:space="0" w:color="auto"/>
        <w:right w:val="none" w:sz="0" w:space="0" w:color="auto"/>
      </w:divBdr>
    </w:div>
    <w:div w:id="1982616513">
      <w:bodyDiv w:val="1"/>
      <w:marLeft w:val="0"/>
      <w:marRight w:val="0"/>
      <w:marTop w:val="0"/>
      <w:marBottom w:val="0"/>
      <w:divBdr>
        <w:top w:val="none" w:sz="0" w:space="0" w:color="auto"/>
        <w:left w:val="none" w:sz="0" w:space="0" w:color="auto"/>
        <w:bottom w:val="none" w:sz="0" w:space="0" w:color="auto"/>
        <w:right w:val="none" w:sz="0" w:space="0" w:color="auto"/>
      </w:divBdr>
    </w:div>
    <w:div w:id="1984307354">
      <w:bodyDiv w:val="1"/>
      <w:marLeft w:val="0"/>
      <w:marRight w:val="0"/>
      <w:marTop w:val="0"/>
      <w:marBottom w:val="0"/>
      <w:divBdr>
        <w:top w:val="none" w:sz="0" w:space="0" w:color="auto"/>
        <w:left w:val="none" w:sz="0" w:space="0" w:color="auto"/>
        <w:bottom w:val="none" w:sz="0" w:space="0" w:color="auto"/>
        <w:right w:val="none" w:sz="0" w:space="0" w:color="auto"/>
      </w:divBdr>
    </w:div>
    <w:div w:id="1989505476">
      <w:bodyDiv w:val="1"/>
      <w:marLeft w:val="0"/>
      <w:marRight w:val="0"/>
      <w:marTop w:val="0"/>
      <w:marBottom w:val="0"/>
      <w:divBdr>
        <w:top w:val="none" w:sz="0" w:space="0" w:color="auto"/>
        <w:left w:val="none" w:sz="0" w:space="0" w:color="auto"/>
        <w:bottom w:val="none" w:sz="0" w:space="0" w:color="auto"/>
        <w:right w:val="none" w:sz="0" w:space="0" w:color="auto"/>
      </w:divBdr>
    </w:div>
    <w:div w:id="1991405089">
      <w:bodyDiv w:val="1"/>
      <w:marLeft w:val="0"/>
      <w:marRight w:val="0"/>
      <w:marTop w:val="0"/>
      <w:marBottom w:val="0"/>
      <w:divBdr>
        <w:top w:val="none" w:sz="0" w:space="0" w:color="auto"/>
        <w:left w:val="none" w:sz="0" w:space="0" w:color="auto"/>
        <w:bottom w:val="none" w:sz="0" w:space="0" w:color="auto"/>
        <w:right w:val="none" w:sz="0" w:space="0" w:color="auto"/>
      </w:divBdr>
    </w:div>
    <w:div w:id="1998410497">
      <w:bodyDiv w:val="1"/>
      <w:marLeft w:val="0"/>
      <w:marRight w:val="0"/>
      <w:marTop w:val="0"/>
      <w:marBottom w:val="0"/>
      <w:divBdr>
        <w:top w:val="none" w:sz="0" w:space="0" w:color="auto"/>
        <w:left w:val="none" w:sz="0" w:space="0" w:color="auto"/>
        <w:bottom w:val="none" w:sz="0" w:space="0" w:color="auto"/>
        <w:right w:val="none" w:sz="0" w:space="0" w:color="auto"/>
      </w:divBdr>
    </w:div>
    <w:div w:id="2004694927">
      <w:bodyDiv w:val="1"/>
      <w:marLeft w:val="0"/>
      <w:marRight w:val="0"/>
      <w:marTop w:val="0"/>
      <w:marBottom w:val="0"/>
      <w:divBdr>
        <w:top w:val="none" w:sz="0" w:space="0" w:color="auto"/>
        <w:left w:val="none" w:sz="0" w:space="0" w:color="auto"/>
        <w:bottom w:val="none" w:sz="0" w:space="0" w:color="auto"/>
        <w:right w:val="none" w:sz="0" w:space="0" w:color="auto"/>
      </w:divBdr>
    </w:div>
    <w:div w:id="2016110730">
      <w:bodyDiv w:val="1"/>
      <w:marLeft w:val="0"/>
      <w:marRight w:val="0"/>
      <w:marTop w:val="0"/>
      <w:marBottom w:val="0"/>
      <w:divBdr>
        <w:top w:val="none" w:sz="0" w:space="0" w:color="auto"/>
        <w:left w:val="none" w:sz="0" w:space="0" w:color="auto"/>
        <w:bottom w:val="none" w:sz="0" w:space="0" w:color="auto"/>
        <w:right w:val="none" w:sz="0" w:space="0" w:color="auto"/>
      </w:divBdr>
      <w:divsChild>
        <w:div w:id="1981880782">
          <w:marLeft w:val="0"/>
          <w:marRight w:val="0"/>
          <w:marTop w:val="0"/>
          <w:marBottom w:val="0"/>
          <w:divBdr>
            <w:top w:val="none" w:sz="0" w:space="0" w:color="auto"/>
            <w:left w:val="none" w:sz="0" w:space="0" w:color="auto"/>
            <w:bottom w:val="none" w:sz="0" w:space="0" w:color="auto"/>
            <w:right w:val="none" w:sz="0" w:space="0" w:color="auto"/>
          </w:divBdr>
        </w:div>
      </w:divsChild>
    </w:div>
    <w:div w:id="2018537588">
      <w:bodyDiv w:val="1"/>
      <w:marLeft w:val="0"/>
      <w:marRight w:val="0"/>
      <w:marTop w:val="0"/>
      <w:marBottom w:val="0"/>
      <w:divBdr>
        <w:top w:val="none" w:sz="0" w:space="0" w:color="auto"/>
        <w:left w:val="none" w:sz="0" w:space="0" w:color="auto"/>
        <w:bottom w:val="none" w:sz="0" w:space="0" w:color="auto"/>
        <w:right w:val="none" w:sz="0" w:space="0" w:color="auto"/>
      </w:divBdr>
    </w:div>
    <w:div w:id="2023123677">
      <w:bodyDiv w:val="1"/>
      <w:marLeft w:val="0"/>
      <w:marRight w:val="0"/>
      <w:marTop w:val="0"/>
      <w:marBottom w:val="0"/>
      <w:divBdr>
        <w:top w:val="none" w:sz="0" w:space="0" w:color="auto"/>
        <w:left w:val="none" w:sz="0" w:space="0" w:color="auto"/>
        <w:bottom w:val="none" w:sz="0" w:space="0" w:color="auto"/>
        <w:right w:val="none" w:sz="0" w:space="0" w:color="auto"/>
      </w:divBdr>
    </w:div>
    <w:div w:id="2025277249">
      <w:bodyDiv w:val="1"/>
      <w:marLeft w:val="0"/>
      <w:marRight w:val="0"/>
      <w:marTop w:val="0"/>
      <w:marBottom w:val="0"/>
      <w:divBdr>
        <w:top w:val="none" w:sz="0" w:space="0" w:color="auto"/>
        <w:left w:val="none" w:sz="0" w:space="0" w:color="auto"/>
        <w:bottom w:val="none" w:sz="0" w:space="0" w:color="auto"/>
        <w:right w:val="none" w:sz="0" w:space="0" w:color="auto"/>
      </w:divBdr>
    </w:div>
    <w:div w:id="2027057129">
      <w:bodyDiv w:val="1"/>
      <w:marLeft w:val="0"/>
      <w:marRight w:val="0"/>
      <w:marTop w:val="0"/>
      <w:marBottom w:val="0"/>
      <w:divBdr>
        <w:top w:val="none" w:sz="0" w:space="0" w:color="auto"/>
        <w:left w:val="none" w:sz="0" w:space="0" w:color="auto"/>
        <w:bottom w:val="none" w:sz="0" w:space="0" w:color="auto"/>
        <w:right w:val="none" w:sz="0" w:space="0" w:color="auto"/>
      </w:divBdr>
    </w:div>
    <w:div w:id="2027167710">
      <w:bodyDiv w:val="1"/>
      <w:marLeft w:val="0"/>
      <w:marRight w:val="0"/>
      <w:marTop w:val="0"/>
      <w:marBottom w:val="0"/>
      <w:divBdr>
        <w:top w:val="none" w:sz="0" w:space="0" w:color="auto"/>
        <w:left w:val="none" w:sz="0" w:space="0" w:color="auto"/>
        <w:bottom w:val="none" w:sz="0" w:space="0" w:color="auto"/>
        <w:right w:val="none" w:sz="0" w:space="0" w:color="auto"/>
      </w:divBdr>
    </w:div>
    <w:div w:id="2028478713">
      <w:bodyDiv w:val="1"/>
      <w:marLeft w:val="0"/>
      <w:marRight w:val="0"/>
      <w:marTop w:val="0"/>
      <w:marBottom w:val="0"/>
      <w:divBdr>
        <w:top w:val="none" w:sz="0" w:space="0" w:color="auto"/>
        <w:left w:val="none" w:sz="0" w:space="0" w:color="auto"/>
        <w:bottom w:val="none" w:sz="0" w:space="0" w:color="auto"/>
        <w:right w:val="none" w:sz="0" w:space="0" w:color="auto"/>
      </w:divBdr>
    </w:div>
    <w:div w:id="2029140423">
      <w:bodyDiv w:val="1"/>
      <w:marLeft w:val="0"/>
      <w:marRight w:val="0"/>
      <w:marTop w:val="0"/>
      <w:marBottom w:val="0"/>
      <w:divBdr>
        <w:top w:val="none" w:sz="0" w:space="0" w:color="auto"/>
        <w:left w:val="none" w:sz="0" w:space="0" w:color="auto"/>
        <w:bottom w:val="none" w:sz="0" w:space="0" w:color="auto"/>
        <w:right w:val="none" w:sz="0" w:space="0" w:color="auto"/>
      </w:divBdr>
    </w:div>
    <w:div w:id="2030522533">
      <w:bodyDiv w:val="1"/>
      <w:marLeft w:val="0"/>
      <w:marRight w:val="0"/>
      <w:marTop w:val="0"/>
      <w:marBottom w:val="0"/>
      <w:divBdr>
        <w:top w:val="none" w:sz="0" w:space="0" w:color="auto"/>
        <w:left w:val="none" w:sz="0" w:space="0" w:color="auto"/>
        <w:bottom w:val="none" w:sz="0" w:space="0" w:color="auto"/>
        <w:right w:val="none" w:sz="0" w:space="0" w:color="auto"/>
      </w:divBdr>
    </w:div>
    <w:div w:id="2032682577">
      <w:bodyDiv w:val="1"/>
      <w:marLeft w:val="0"/>
      <w:marRight w:val="0"/>
      <w:marTop w:val="0"/>
      <w:marBottom w:val="0"/>
      <w:divBdr>
        <w:top w:val="none" w:sz="0" w:space="0" w:color="auto"/>
        <w:left w:val="none" w:sz="0" w:space="0" w:color="auto"/>
        <w:bottom w:val="none" w:sz="0" w:space="0" w:color="auto"/>
        <w:right w:val="none" w:sz="0" w:space="0" w:color="auto"/>
      </w:divBdr>
    </w:div>
    <w:div w:id="2033996753">
      <w:bodyDiv w:val="1"/>
      <w:marLeft w:val="0"/>
      <w:marRight w:val="0"/>
      <w:marTop w:val="0"/>
      <w:marBottom w:val="0"/>
      <w:divBdr>
        <w:top w:val="none" w:sz="0" w:space="0" w:color="auto"/>
        <w:left w:val="none" w:sz="0" w:space="0" w:color="auto"/>
        <w:bottom w:val="none" w:sz="0" w:space="0" w:color="auto"/>
        <w:right w:val="none" w:sz="0" w:space="0" w:color="auto"/>
      </w:divBdr>
    </w:div>
    <w:div w:id="2034530017">
      <w:bodyDiv w:val="1"/>
      <w:marLeft w:val="0"/>
      <w:marRight w:val="0"/>
      <w:marTop w:val="0"/>
      <w:marBottom w:val="0"/>
      <w:divBdr>
        <w:top w:val="none" w:sz="0" w:space="0" w:color="auto"/>
        <w:left w:val="none" w:sz="0" w:space="0" w:color="auto"/>
        <w:bottom w:val="none" w:sz="0" w:space="0" w:color="auto"/>
        <w:right w:val="none" w:sz="0" w:space="0" w:color="auto"/>
      </w:divBdr>
    </w:div>
    <w:div w:id="2037652604">
      <w:bodyDiv w:val="1"/>
      <w:marLeft w:val="0"/>
      <w:marRight w:val="0"/>
      <w:marTop w:val="0"/>
      <w:marBottom w:val="0"/>
      <w:divBdr>
        <w:top w:val="none" w:sz="0" w:space="0" w:color="auto"/>
        <w:left w:val="none" w:sz="0" w:space="0" w:color="auto"/>
        <w:bottom w:val="none" w:sz="0" w:space="0" w:color="auto"/>
        <w:right w:val="none" w:sz="0" w:space="0" w:color="auto"/>
      </w:divBdr>
    </w:div>
    <w:div w:id="2041321498">
      <w:bodyDiv w:val="1"/>
      <w:marLeft w:val="0"/>
      <w:marRight w:val="0"/>
      <w:marTop w:val="0"/>
      <w:marBottom w:val="0"/>
      <w:divBdr>
        <w:top w:val="none" w:sz="0" w:space="0" w:color="auto"/>
        <w:left w:val="none" w:sz="0" w:space="0" w:color="auto"/>
        <w:bottom w:val="none" w:sz="0" w:space="0" w:color="auto"/>
        <w:right w:val="none" w:sz="0" w:space="0" w:color="auto"/>
      </w:divBdr>
    </w:div>
    <w:div w:id="2047561906">
      <w:bodyDiv w:val="1"/>
      <w:marLeft w:val="0"/>
      <w:marRight w:val="0"/>
      <w:marTop w:val="0"/>
      <w:marBottom w:val="0"/>
      <w:divBdr>
        <w:top w:val="none" w:sz="0" w:space="0" w:color="auto"/>
        <w:left w:val="none" w:sz="0" w:space="0" w:color="auto"/>
        <w:bottom w:val="none" w:sz="0" w:space="0" w:color="auto"/>
        <w:right w:val="none" w:sz="0" w:space="0" w:color="auto"/>
      </w:divBdr>
    </w:div>
    <w:div w:id="2061785763">
      <w:bodyDiv w:val="1"/>
      <w:marLeft w:val="0"/>
      <w:marRight w:val="0"/>
      <w:marTop w:val="0"/>
      <w:marBottom w:val="0"/>
      <w:divBdr>
        <w:top w:val="none" w:sz="0" w:space="0" w:color="auto"/>
        <w:left w:val="none" w:sz="0" w:space="0" w:color="auto"/>
        <w:bottom w:val="none" w:sz="0" w:space="0" w:color="auto"/>
        <w:right w:val="none" w:sz="0" w:space="0" w:color="auto"/>
      </w:divBdr>
    </w:div>
    <w:div w:id="2062437087">
      <w:bodyDiv w:val="1"/>
      <w:marLeft w:val="0"/>
      <w:marRight w:val="0"/>
      <w:marTop w:val="0"/>
      <w:marBottom w:val="0"/>
      <w:divBdr>
        <w:top w:val="none" w:sz="0" w:space="0" w:color="auto"/>
        <w:left w:val="none" w:sz="0" w:space="0" w:color="auto"/>
        <w:bottom w:val="none" w:sz="0" w:space="0" w:color="auto"/>
        <w:right w:val="none" w:sz="0" w:space="0" w:color="auto"/>
      </w:divBdr>
    </w:div>
    <w:div w:id="2065634732">
      <w:bodyDiv w:val="1"/>
      <w:marLeft w:val="0"/>
      <w:marRight w:val="0"/>
      <w:marTop w:val="0"/>
      <w:marBottom w:val="0"/>
      <w:divBdr>
        <w:top w:val="none" w:sz="0" w:space="0" w:color="auto"/>
        <w:left w:val="none" w:sz="0" w:space="0" w:color="auto"/>
        <w:bottom w:val="none" w:sz="0" w:space="0" w:color="auto"/>
        <w:right w:val="none" w:sz="0" w:space="0" w:color="auto"/>
      </w:divBdr>
    </w:div>
    <w:div w:id="2084177474">
      <w:bodyDiv w:val="1"/>
      <w:marLeft w:val="0"/>
      <w:marRight w:val="0"/>
      <w:marTop w:val="0"/>
      <w:marBottom w:val="0"/>
      <w:divBdr>
        <w:top w:val="none" w:sz="0" w:space="0" w:color="auto"/>
        <w:left w:val="none" w:sz="0" w:space="0" w:color="auto"/>
        <w:bottom w:val="none" w:sz="0" w:space="0" w:color="auto"/>
        <w:right w:val="none" w:sz="0" w:space="0" w:color="auto"/>
      </w:divBdr>
    </w:div>
    <w:div w:id="2085294817">
      <w:bodyDiv w:val="1"/>
      <w:marLeft w:val="0"/>
      <w:marRight w:val="0"/>
      <w:marTop w:val="0"/>
      <w:marBottom w:val="0"/>
      <w:divBdr>
        <w:top w:val="none" w:sz="0" w:space="0" w:color="auto"/>
        <w:left w:val="none" w:sz="0" w:space="0" w:color="auto"/>
        <w:bottom w:val="none" w:sz="0" w:space="0" w:color="auto"/>
        <w:right w:val="none" w:sz="0" w:space="0" w:color="auto"/>
      </w:divBdr>
    </w:div>
    <w:div w:id="2088066050">
      <w:bodyDiv w:val="1"/>
      <w:marLeft w:val="0"/>
      <w:marRight w:val="0"/>
      <w:marTop w:val="0"/>
      <w:marBottom w:val="0"/>
      <w:divBdr>
        <w:top w:val="none" w:sz="0" w:space="0" w:color="auto"/>
        <w:left w:val="none" w:sz="0" w:space="0" w:color="auto"/>
        <w:bottom w:val="none" w:sz="0" w:space="0" w:color="auto"/>
        <w:right w:val="none" w:sz="0" w:space="0" w:color="auto"/>
      </w:divBdr>
    </w:div>
    <w:div w:id="2088763607">
      <w:bodyDiv w:val="1"/>
      <w:marLeft w:val="0"/>
      <w:marRight w:val="0"/>
      <w:marTop w:val="0"/>
      <w:marBottom w:val="0"/>
      <w:divBdr>
        <w:top w:val="none" w:sz="0" w:space="0" w:color="auto"/>
        <w:left w:val="none" w:sz="0" w:space="0" w:color="auto"/>
        <w:bottom w:val="none" w:sz="0" w:space="0" w:color="auto"/>
        <w:right w:val="none" w:sz="0" w:space="0" w:color="auto"/>
      </w:divBdr>
    </w:div>
    <w:div w:id="2090233131">
      <w:bodyDiv w:val="1"/>
      <w:marLeft w:val="0"/>
      <w:marRight w:val="0"/>
      <w:marTop w:val="0"/>
      <w:marBottom w:val="0"/>
      <w:divBdr>
        <w:top w:val="none" w:sz="0" w:space="0" w:color="auto"/>
        <w:left w:val="none" w:sz="0" w:space="0" w:color="auto"/>
        <w:bottom w:val="none" w:sz="0" w:space="0" w:color="auto"/>
        <w:right w:val="none" w:sz="0" w:space="0" w:color="auto"/>
      </w:divBdr>
    </w:div>
    <w:div w:id="2092895169">
      <w:bodyDiv w:val="1"/>
      <w:marLeft w:val="0"/>
      <w:marRight w:val="0"/>
      <w:marTop w:val="0"/>
      <w:marBottom w:val="0"/>
      <w:divBdr>
        <w:top w:val="none" w:sz="0" w:space="0" w:color="auto"/>
        <w:left w:val="none" w:sz="0" w:space="0" w:color="auto"/>
        <w:bottom w:val="none" w:sz="0" w:space="0" w:color="auto"/>
        <w:right w:val="none" w:sz="0" w:space="0" w:color="auto"/>
      </w:divBdr>
    </w:div>
    <w:div w:id="2095396267">
      <w:bodyDiv w:val="1"/>
      <w:marLeft w:val="0"/>
      <w:marRight w:val="0"/>
      <w:marTop w:val="0"/>
      <w:marBottom w:val="0"/>
      <w:divBdr>
        <w:top w:val="none" w:sz="0" w:space="0" w:color="auto"/>
        <w:left w:val="none" w:sz="0" w:space="0" w:color="auto"/>
        <w:bottom w:val="none" w:sz="0" w:space="0" w:color="auto"/>
        <w:right w:val="none" w:sz="0" w:space="0" w:color="auto"/>
      </w:divBdr>
    </w:div>
    <w:div w:id="2099669884">
      <w:bodyDiv w:val="1"/>
      <w:marLeft w:val="0"/>
      <w:marRight w:val="0"/>
      <w:marTop w:val="0"/>
      <w:marBottom w:val="0"/>
      <w:divBdr>
        <w:top w:val="none" w:sz="0" w:space="0" w:color="auto"/>
        <w:left w:val="none" w:sz="0" w:space="0" w:color="auto"/>
        <w:bottom w:val="none" w:sz="0" w:space="0" w:color="auto"/>
        <w:right w:val="none" w:sz="0" w:space="0" w:color="auto"/>
      </w:divBdr>
    </w:div>
    <w:div w:id="2106029135">
      <w:bodyDiv w:val="1"/>
      <w:marLeft w:val="0"/>
      <w:marRight w:val="0"/>
      <w:marTop w:val="0"/>
      <w:marBottom w:val="0"/>
      <w:divBdr>
        <w:top w:val="none" w:sz="0" w:space="0" w:color="auto"/>
        <w:left w:val="none" w:sz="0" w:space="0" w:color="auto"/>
        <w:bottom w:val="none" w:sz="0" w:space="0" w:color="auto"/>
        <w:right w:val="none" w:sz="0" w:space="0" w:color="auto"/>
      </w:divBdr>
    </w:div>
    <w:div w:id="2114089214">
      <w:bodyDiv w:val="1"/>
      <w:marLeft w:val="0"/>
      <w:marRight w:val="0"/>
      <w:marTop w:val="0"/>
      <w:marBottom w:val="0"/>
      <w:divBdr>
        <w:top w:val="none" w:sz="0" w:space="0" w:color="auto"/>
        <w:left w:val="none" w:sz="0" w:space="0" w:color="auto"/>
        <w:bottom w:val="none" w:sz="0" w:space="0" w:color="auto"/>
        <w:right w:val="none" w:sz="0" w:space="0" w:color="auto"/>
      </w:divBdr>
    </w:div>
    <w:div w:id="2116750599">
      <w:bodyDiv w:val="1"/>
      <w:marLeft w:val="0"/>
      <w:marRight w:val="0"/>
      <w:marTop w:val="0"/>
      <w:marBottom w:val="0"/>
      <w:divBdr>
        <w:top w:val="none" w:sz="0" w:space="0" w:color="auto"/>
        <w:left w:val="none" w:sz="0" w:space="0" w:color="auto"/>
        <w:bottom w:val="none" w:sz="0" w:space="0" w:color="auto"/>
        <w:right w:val="none" w:sz="0" w:space="0" w:color="auto"/>
      </w:divBdr>
    </w:div>
    <w:div w:id="2118405082">
      <w:bodyDiv w:val="1"/>
      <w:marLeft w:val="0"/>
      <w:marRight w:val="0"/>
      <w:marTop w:val="0"/>
      <w:marBottom w:val="0"/>
      <w:divBdr>
        <w:top w:val="none" w:sz="0" w:space="0" w:color="auto"/>
        <w:left w:val="none" w:sz="0" w:space="0" w:color="auto"/>
        <w:bottom w:val="none" w:sz="0" w:space="0" w:color="auto"/>
        <w:right w:val="none" w:sz="0" w:space="0" w:color="auto"/>
      </w:divBdr>
    </w:div>
    <w:div w:id="2137991442">
      <w:bodyDiv w:val="1"/>
      <w:marLeft w:val="0"/>
      <w:marRight w:val="0"/>
      <w:marTop w:val="0"/>
      <w:marBottom w:val="0"/>
      <w:divBdr>
        <w:top w:val="none" w:sz="0" w:space="0" w:color="auto"/>
        <w:left w:val="none" w:sz="0" w:space="0" w:color="auto"/>
        <w:bottom w:val="none" w:sz="0" w:space="0" w:color="auto"/>
        <w:right w:val="none" w:sz="0" w:space="0" w:color="auto"/>
      </w:divBdr>
    </w:div>
    <w:div w:id="214657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opendatacharter.org/principle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C://Users/KarimLourimi/Downloads/doc-837-2019_05_09_11_56_06.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undp.org/sites/g/files/zskgke326/files/2023-06/undp_iq_digital_landscape_assessment_en.pdf" TargetMode="External"/><Relationship Id="rId1" Type="http://schemas.openxmlformats.org/officeDocument/2006/relationships/hyperlink" Target="https://www.iraqoilreport.com/news/iraqs-highest-court-strikes-down-inoc-4515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BB85061C028948AF8B66CD8B843B07" ma:contentTypeVersion="18" ma:contentTypeDescription="Create a new document." ma:contentTypeScope="" ma:versionID="e38ba823c4f857f0ab6da5592cb199c9">
  <xsd:schema xmlns:xsd="http://www.w3.org/2001/XMLSchema" xmlns:xs="http://www.w3.org/2001/XMLSchema" xmlns:p="http://schemas.microsoft.com/office/2006/metadata/properties" xmlns:ns2="85d401f5-2daa-408c-82d2-ce9bf1d4371c" xmlns:ns3="35a9b867-3d1f-4095-a49a-87f71c12b65b" targetNamespace="http://schemas.microsoft.com/office/2006/metadata/properties" ma:root="true" ma:fieldsID="7e2f7126f3390274737ea5beb44b4727" ns2:_="" ns3:_="">
    <xsd:import namespace="85d401f5-2daa-408c-82d2-ce9bf1d4371c"/>
    <xsd:import namespace="35a9b867-3d1f-4095-a49a-87f71c12b6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d401f5-2daa-408c-82d2-ce9bf1d437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b58f297-623d-4bc9-82bf-53ab639f8509"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a9b867-3d1f-4095-a49a-87f71c12b65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0dbebfa-4252-4075-8e20-387165136410}" ma:internalName="TaxCatchAll" ma:showField="CatchAllData" ma:web="35a9b867-3d1f-4095-a49a-87f71c12b6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5d401f5-2daa-408c-82d2-ce9bf1d4371c">
      <Terms xmlns="http://schemas.microsoft.com/office/infopath/2007/PartnerControls"/>
    </lcf76f155ced4ddcb4097134ff3c332f>
    <TaxCatchAll xmlns="35a9b867-3d1f-4095-a49a-87f71c12b65b" xsi:nil="true"/>
  </documentManagement>
</p:properties>
</file>

<file path=customXml/itemProps1.xml><?xml version="1.0" encoding="utf-8"?>
<ds:datastoreItem xmlns:ds="http://schemas.openxmlformats.org/officeDocument/2006/customXml" ds:itemID="{A2A58574-8EA3-42C1-8980-6C579FFAC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d401f5-2daa-408c-82d2-ce9bf1d4371c"/>
    <ds:schemaRef ds:uri="35a9b867-3d1f-4095-a49a-87f71c12b6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8341C5-0075-4B42-AD70-7C8337000B60}">
  <ds:schemaRefs>
    <ds:schemaRef ds:uri="http://schemas.microsoft.com/sharepoint/v3/contenttype/forms"/>
  </ds:schemaRefs>
</ds:datastoreItem>
</file>

<file path=customXml/itemProps3.xml><?xml version="1.0" encoding="utf-8"?>
<ds:datastoreItem xmlns:ds="http://schemas.openxmlformats.org/officeDocument/2006/customXml" ds:itemID="{A7562F15-7F7B-482D-8E25-8450F770533C}">
  <ds:schemaRefs>
    <ds:schemaRef ds:uri="http://schemas.openxmlformats.org/officeDocument/2006/bibliography"/>
  </ds:schemaRefs>
</ds:datastoreItem>
</file>

<file path=customXml/itemProps4.xml><?xml version="1.0" encoding="utf-8"?>
<ds:datastoreItem xmlns:ds="http://schemas.openxmlformats.org/officeDocument/2006/customXml" ds:itemID="{68D13D25-14AD-479A-B92B-764A0ACF603E}">
  <ds:schemaRefs>
    <ds:schemaRef ds:uri="http://schemas.microsoft.com/office/2006/metadata/properties"/>
    <ds:schemaRef ds:uri="http://schemas.microsoft.com/office/infopath/2007/PartnerControls"/>
    <ds:schemaRef ds:uri="85d401f5-2daa-408c-82d2-ce9bf1d4371c"/>
    <ds:schemaRef ds:uri="35a9b867-3d1f-4095-a49a-87f71c12b65b"/>
  </ds:schemaRefs>
</ds:datastoreItem>
</file>

<file path=docProps/app.xml><?xml version="1.0" encoding="utf-8"?>
<Properties xmlns="http://schemas.openxmlformats.org/officeDocument/2006/extended-properties" xmlns:vt="http://schemas.openxmlformats.org/officeDocument/2006/docPropsVTypes">
  <Template>Normal.dotm</Template>
  <TotalTime>1770</TotalTime>
  <Pages>21</Pages>
  <Words>20022</Words>
  <Characters>125745</Characters>
  <Application>Microsoft Office Word</Application>
  <DocSecurity>0</DocSecurity>
  <Lines>5987</Lines>
  <Paragraphs>2557</Paragraphs>
  <ScaleCrop>false</ScaleCrop>
  <Company/>
  <LinksUpToDate>false</LinksUpToDate>
  <CharactersWithSpaces>143210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 Lourimi</dc:creator>
  <cp:keywords/>
  <dc:description/>
  <cp:lastModifiedBy>Tiba Khalid Abdulrahman Alimam</cp:lastModifiedBy>
  <cp:revision>238</cp:revision>
  <dcterms:created xsi:type="dcterms:W3CDTF">2025-05-18T13:19:00Z</dcterms:created>
  <dcterms:modified xsi:type="dcterms:W3CDTF">2025-11-27T10:02:00Z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0x010100B1BB85061C028948AF8B66CD8B843B07</vt:lpwstr>
  </property>
  <property fmtid="{D5CDD505-2E9C-101B-9397-08002B2CF9AE}" pid="3" name="MediaServiceImageTags">
    <vt:lpwstr/>
  </property>
  <property fmtid="{D5CDD505-2E9C-101B-9397-08002B2CF9AE}" pid="4" name="ClassificationContentMarkingFooterShapeIds">
    <vt:lpwstr>4431faae,4f6b15c0,7f8e3b64,3112ef1e,593f789f</vt:lpwstr>
  </property>
  <property fmtid="{D5CDD505-2E9C-101B-9397-08002B2CF9AE}" pid="5" name="ClassificationContentMarkingFooterFontProps">
    <vt:lpwstr>#000000,10,Aptos</vt:lpwstr>
  </property>
  <property fmtid="{D5CDD505-2E9C-101B-9397-08002B2CF9AE}" pid="6" name="ClassificationContentMarkingFooterText">
    <vt:lpwstr>Official Use Only</vt:lpwstr>
  </property>
  <property fmtid="{D5CDD505-2E9C-101B-9397-08002B2CF9AE}" pid="7" name="MSIP_Label_f1bf45b6-5649-4236-82a3-f45024cd282e_Enabled">
    <vt:lpwstr>true</vt:lpwstr>
  </property>
  <property fmtid="{D5CDD505-2E9C-101B-9397-08002B2CF9AE}" pid="8" name="MSIP_Label_f1bf45b6-5649-4236-82a3-f45024cd282e_SetDate">
    <vt:lpwstr>2025-11-20T10:13:46Z</vt:lpwstr>
  </property>
  <property fmtid="{D5CDD505-2E9C-101B-9397-08002B2CF9AE}" pid="9" name="MSIP_Label_f1bf45b6-5649-4236-82a3-f45024cd282e_Method">
    <vt:lpwstr>Standard</vt:lpwstr>
  </property>
  <property fmtid="{D5CDD505-2E9C-101B-9397-08002B2CF9AE}" pid="10" name="MSIP_Label_f1bf45b6-5649-4236-82a3-f45024cd282e_Name">
    <vt:lpwstr>Official Use Only</vt:lpwstr>
  </property>
  <property fmtid="{D5CDD505-2E9C-101B-9397-08002B2CF9AE}" pid="11" name="MSIP_Label_f1bf45b6-5649-4236-82a3-f45024cd282e_SiteId">
    <vt:lpwstr>31a2fec0-266b-4c67-b56e-2796d8f59c36</vt:lpwstr>
  </property>
  <property fmtid="{D5CDD505-2E9C-101B-9397-08002B2CF9AE}" pid="12" name="MSIP_Label_f1bf45b6-5649-4236-82a3-f45024cd282e_ActionId">
    <vt:lpwstr>c74016f3-acd6-4e1e-a06e-28e055e11bf8</vt:lpwstr>
  </property>
  <property fmtid="{D5CDD505-2E9C-101B-9397-08002B2CF9AE}" pid="13" name="MSIP_Label_f1bf45b6-5649-4236-82a3-f45024cd282e_ContentBits">
    <vt:lpwstr>2</vt:lpwstr>
  </property>
  <property fmtid="{D5CDD505-2E9C-101B-9397-08002B2CF9AE}" pid="14" name="MSIP_Label_f1bf45b6-5649-4236-82a3-f45024cd282e_Tag">
    <vt:lpwstr>10, 3, 0, 1</vt:lpwstr>
  </property>
</Properties>
</file>